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E1700" w14:textId="3D3BB35A" w:rsidR="00C90449" w:rsidRDefault="00A61579" w:rsidP="00C90449">
      <w:pPr>
        <w:rPr>
          <w:rFonts w:ascii="Roboto" w:hAnsi="Roboto"/>
          <w:b/>
          <w:bCs/>
          <w:sz w:val="28"/>
          <w:szCs w:val="28"/>
          <w:u w:val="single"/>
        </w:rPr>
      </w:pPr>
      <w:r w:rsidRPr="00E04D0F">
        <w:rPr>
          <w:rFonts w:ascii="Arial Black" w:hAnsi="Arial Black"/>
          <w:noProof/>
          <w:color w:val="FFFFFF" w:themeColor="background1"/>
          <w:sz w:val="36"/>
          <w:szCs w:val="36"/>
        </w:rPr>
        <w:drawing>
          <wp:anchor distT="0" distB="0" distL="114300" distR="114300" simplePos="0" relativeHeight="251661312" behindDoc="0" locked="0" layoutInCell="1" allowOverlap="1" wp14:anchorId="0382B121" wp14:editId="30D6502E">
            <wp:simplePos x="0" y="0"/>
            <wp:positionH relativeFrom="margin">
              <wp:align>right</wp:align>
            </wp:positionH>
            <wp:positionV relativeFrom="paragraph">
              <wp:posOffset>-344805</wp:posOffset>
            </wp:positionV>
            <wp:extent cx="1095375" cy="1095375"/>
            <wp:effectExtent l="0" t="0" r="9525" b="9525"/>
            <wp:wrapNone/>
            <wp:docPr id="13" name="Picture 13" descr="P1C1T1#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Official ADE Seal R1019_Transparent background.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95375" cy="1095375"/>
                    </a:xfrm>
                    <a:prstGeom prst="rect">
                      <a:avLst/>
                    </a:prstGeom>
                  </pic:spPr>
                </pic:pic>
              </a:graphicData>
            </a:graphic>
            <wp14:sizeRelH relativeFrom="margin">
              <wp14:pctWidth>0</wp14:pctWidth>
            </wp14:sizeRelH>
            <wp14:sizeRelV relativeFrom="margin">
              <wp14:pctHeight>0</wp14:pctHeight>
            </wp14:sizeRelV>
          </wp:anchor>
        </w:drawing>
      </w:r>
      <w:r w:rsidRPr="00923167">
        <w:rPr>
          <w:rFonts w:ascii="Roboto" w:hAnsi="Roboto"/>
          <w:b/>
          <w:bCs/>
          <w:noProof/>
          <w:sz w:val="28"/>
          <w:szCs w:val="28"/>
          <w:u w:val="single"/>
        </w:rPr>
        <mc:AlternateContent>
          <mc:Choice Requires="wps">
            <w:drawing>
              <wp:anchor distT="45720" distB="45720" distL="114300" distR="114300" simplePos="0" relativeHeight="251659264" behindDoc="0" locked="0" layoutInCell="1" allowOverlap="1" wp14:anchorId="73D54A48" wp14:editId="2792970B">
                <wp:simplePos x="0" y="0"/>
                <wp:positionH relativeFrom="margin">
                  <wp:align>left</wp:align>
                </wp:positionH>
                <wp:positionV relativeFrom="paragraph">
                  <wp:posOffset>0</wp:posOffset>
                </wp:positionV>
                <wp:extent cx="9115425" cy="1404620"/>
                <wp:effectExtent l="0" t="0" r="9525"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5425" cy="1404620"/>
                        </a:xfrm>
                        <a:prstGeom prst="rect">
                          <a:avLst/>
                        </a:prstGeom>
                        <a:solidFill>
                          <a:srgbClr val="FFFFFF"/>
                        </a:solidFill>
                        <a:ln w="9525">
                          <a:noFill/>
                          <a:miter lim="800000"/>
                          <a:headEnd/>
                          <a:tailEnd/>
                        </a:ln>
                      </wps:spPr>
                      <wps:txbx>
                        <w:txbxContent>
                          <w:p w14:paraId="3FD32195" w14:textId="77777777" w:rsidR="00A61579" w:rsidRPr="00923167" w:rsidRDefault="00A61579" w:rsidP="00A61579">
                            <w:pPr>
                              <w:jc w:val="center"/>
                              <w:rPr>
                                <w:b/>
                                <w:bCs/>
                                <w:sz w:val="32"/>
                                <w:szCs w:val="32"/>
                              </w:rPr>
                            </w:pPr>
                            <w:r w:rsidRPr="00923167">
                              <w:rPr>
                                <w:b/>
                                <w:bCs/>
                                <w:sz w:val="32"/>
                                <w:szCs w:val="32"/>
                              </w:rPr>
                              <w:t>ARIZONA PROFESSIONAL SKILLS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3D54A48" id="_x0000_t202" coordsize="21600,21600" o:spt="202" path="m,l,21600r21600,l21600,xe">
                <v:stroke joinstyle="miter"/>
                <v:path gradientshapeok="t" o:connecttype="rect"/>
              </v:shapetype>
              <v:shape id="Text Box 2" o:spid="_x0000_s1026" type="#_x0000_t202" style="position:absolute;margin-left:0;margin-top:0;width:717.75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RLjIQIAAB4EAAAOAAAAZHJzL2Uyb0RvYy54bWysU9tuGyEQfa/Uf0C813vROpeV11Hq1FWl&#10;NK2U9ANYlvWiAkMBezf9+g6s41jpW1UeEDAzhzNnZlY3k1bkIJyXYBpaLHJKhOHQSbNr6I+n7Ycr&#10;SnxgpmMKjGjos/D0Zv3+3Wq0tShhANUJRxDE+Hq0DR1CsHWWeT4IzfwCrDBo7MFpFvDqdlnn2Ijo&#10;WmVlnl9kI7jOOuDCe3y9m410nfD7XvDwre+9CEQ1FLmFtLu0t3HP1itW7xyzg+RHGuwfWGgmDX56&#10;grpjgZG9k39BackdeOjDgoPOoO8lFykHzKbI32TzODArUi4ojrcnmfz/g+UPh++OyK6hZXFJiWEa&#10;i/QkpkA+wkTKqM9ofY1ujxYdw4TPWOeUq7f3wH96YmAzMLMTt87BOAjWIb8iRmZnoTOOjyDt+BU6&#10;/IbtAySgqXc6iodyEETHOj2fahOpcHy8LoplVS4p4Wgrqry6KFP1Mla/hFvnw2cBmsRDQx0WP8Gz&#10;w70PkQ6rX1zibx6U7LZSqXRxu3ajHDkwbJRtWimDN27KkBG5LJFIjDIQ41MPaRmwkZXUDb3K45pb&#10;K8rxyXTJJTCp5jMyUeaoT5RkFidM7YSOUbQWumdUysHcsDhgeBjA/aZkxGZtqP+1Z05Qor4YVPu6&#10;qKrY3elSLS9RGuLOLe25hRmOUA0NlMzHTUgTkXSwt1iVrUx6vTI5csUmTDIeByZ2+fk9eb2O9foP&#10;AAAA//8DAFBLAwQUAAYACAAAACEAFjLfMtwAAAAGAQAADwAAAGRycy9kb3ducmV2LnhtbEyPwU7D&#10;MBBE70j8g7VI3KjTQFCVxqkqKi4ckGiR4OjGmzjCXlu2m4a/x+UCl5VGM5p522xma9iEIY6OBCwX&#10;BTCkzqmRBgHvh+e7FbCYJClpHKGAb4ywaa+vGlkrd6Y3nPZpYLmEYi0F6JR8zXnsNFoZF84jZa93&#10;wcqUZRi4CvKcy63hZVE8citHygtaenzS2H3tT1bAh9Wj2oXXz16ZaffSbys/By/E7c28XQNLOKe/&#10;MFzwMzq0menoTqQiMwLyI+n3XryH+6oCdhRQlssSeNvw//jtDwAAAP//AwBQSwECLQAUAAYACAAA&#10;ACEAtoM4kv4AAADhAQAAEwAAAAAAAAAAAAAAAAAAAAAAW0NvbnRlbnRfVHlwZXNdLnhtbFBLAQIt&#10;ABQABgAIAAAAIQA4/SH/1gAAAJQBAAALAAAAAAAAAAAAAAAAAC8BAABfcmVscy8ucmVsc1BLAQIt&#10;ABQABgAIAAAAIQByoRLjIQIAAB4EAAAOAAAAAAAAAAAAAAAAAC4CAABkcnMvZTJvRG9jLnhtbFBL&#10;AQItABQABgAIAAAAIQAWMt8y3AAAAAYBAAAPAAAAAAAAAAAAAAAAAHsEAABkcnMvZG93bnJldi54&#10;bWxQSwUGAAAAAAQABADzAAAAhAUAAAAA&#10;" stroked="f">
                <v:textbox style="mso-fit-shape-to-text:t">
                  <w:txbxContent>
                    <w:p w14:paraId="3FD32195" w14:textId="77777777" w:rsidR="00A61579" w:rsidRPr="00923167" w:rsidRDefault="00A61579" w:rsidP="00A61579">
                      <w:pPr>
                        <w:jc w:val="center"/>
                        <w:rPr>
                          <w:b/>
                          <w:bCs/>
                          <w:sz w:val="32"/>
                          <w:szCs w:val="32"/>
                        </w:rPr>
                      </w:pPr>
                      <w:r w:rsidRPr="00923167">
                        <w:rPr>
                          <w:b/>
                          <w:bCs/>
                          <w:sz w:val="32"/>
                          <w:szCs w:val="32"/>
                        </w:rPr>
                        <w:t>ARIZONA PROFESSIONAL SKILLS</w:t>
                      </w:r>
                    </w:p>
                  </w:txbxContent>
                </v:textbox>
                <w10:wrap type="square" anchorx="margin"/>
              </v:shape>
            </w:pict>
          </mc:Fallback>
        </mc:AlternateContent>
      </w:r>
      <w:r w:rsidR="00C90449" w:rsidRPr="00B7010B">
        <w:rPr>
          <w:rFonts w:ascii="Roboto" w:hAnsi="Roboto"/>
          <w:b/>
          <w:bCs/>
          <w:sz w:val="28"/>
          <w:szCs w:val="28"/>
          <w:u w:val="single"/>
        </w:rPr>
        <w:t xml:space="preserve">STANDARD </w:t>
      </w:r>
      <w:r w:rsidR="00C90449">
        <w:rPr>
          <w:rFonts w:ascii="Roboto" w:hAnsi="Roboto"/>
          <w:b/>
          <w:bCs/>
          <w:sz w:val="28"/>
          <w:szCs w:val="28"/>
          <w:u w:val="single"/>
        </w:rPr>
        <w:t>7</w:t>
      </w:r>
      <w:r w:rsidR="00C90449" w:rsidRPr="00B7010B">
        <w:rPr>
          <w:rFonts w:ascii="Roboto" w:hAnsi="Roboto"/>
          <w:b/>
          <w:bCs/>
          <w:sz w:val="28"/>
          <w:szCs w:val="28"/>
          <w:u w:val="single"/>
        </w:rPr>
        <w:t xml:space="preserve">: </w:t>
      </w:r>
      <w:r w:rsidR="00C90449">
        <w:rPr>
          <w:rFonts w:ascii="Roboto" w:hAnsi="Roboto"/>
          <w:b/>
          <w:bCs/>
          <w:sz w:val="28"/>
          <w:szCs w:val="28"/>
          <w:u w:val="single"/>
        </w:rPr>
        <w:t>ORGANIZATIONAL CULTURE</w:t>
      </w:r>
    </w:p>
    <w:p w14:paraId="5EC55EDF" w14:textId="0EA7527D" w:rsidR="00C90449" w:rsidRPr="00604B19" w:rsidRDefault="00604B19" w:rsidP="00C90449">
      <w:r>
        <w:t>The Workplace Professional Skills should be used in tandem with the technical standards.  The Core Actions are descriptions of the Measurement Criteria. High School students should strive to meet the Level One-Novice descriptions.  Level Two through Level Four offer teachers and students the accomplishments to be obtained beyond the Novice level. The aim of this standard is to enable the individual to function effectively within the organizational culture.</w:t>
      </w:r>
    </w:p>
    <w:tbl>
      <w:tblPr>
        <w:tblStyle w:val="TableGrid"/>
        <w:tblW w:w="0" w:type="auto"/>
        <w:tblLook w:val="04A0" w:firstRow="1" w:lastRow="0" w:firstColumn="1" w:lastColumn="0" w:noHBand="0" w:noVBand="1"/>
      </w:tblPr>
      <w:tblGrid>
        <w:gridCol w:w="523"/>
        <w:gridCol w:w="2604"/>
        <w:gridCol w:w="523"/>
        <w:gridCol w:w="2843"/>
        <w:gridCol w:w="2121"/>
        <w:gridCol w:w="1823"/>
        <w:gridCol w:w="2052"/>
        <w:gridCol w:w="1901"/>
      </w:tblGrid>
      <w:tr w:rsidR="00860A5F" w14:paraId="6AA36E69" w14:textId="77777777" w:rsidTr="005B30F0">
        <w:tc>
          <w:tcPr>
            <w:tcW w:w="3127" w:type="dxa"/>
            <w:gridSpan w:val="2"/>
            <w:tcBorders>
              <w:bottom w:val="single" w:sz="48" w:space="0" w:color="012169"/>
            </w:tcBorders>
            <w:shd w:val="clear" w:color="auto" w:fill="B4C6E7" w:themeFill="accent1" w:themeFillTint="66"/>
          </w:tcPr>
          <w:p w14:paraId="54D58539" w14:textId="0716F862" w:rsidR="00860A5F" w:rsidRDefault="00860A5F" w:rsidP="00C90449">
            <w:pPr>
              <w:jc w:val="center"/>
              <w:rPr>
                <w:rFonts w:ascii="Roboto" w:hAnsi="Roboto"/>
              </w:rPr>
            </w:pPr>
            <w:r>
              <w:rPr>
                <w:rFonts w:ascii="Roboto" w:hAnsi="Roboto"/>
              </w:rPr>
              <w:t>Measurement Criteria</w:t>
            </w:r>
          </w:p>
        </w:tc>
        <w:tc>
          <w:tcPr>
            <w:tcW w:w="3366" w:type="dxa"/>
            <w:gridSpan w:val="2"/>
            <w:tcBorders>
              <w:bottom w:val="single" w:sz="48" w:space="0" w:color="012169"/>
            </w:tcBorders>
            <w:shd w:val="clear" w:color="auto" w:fill="B4C6E7" w:themeFill="accent1" w:themeFillTint="66"/>
          </w:tcPr>
          <w:p w14:paraId="1E64D159" w14:textId="00DDE6B9" w:rsidR="00860A5F" w:rsidRDefault="00860A5F" w:rsidP="00C90449">
            <w:pPr>
              <w:jc w:val="center"/>
              <w:rPr>
                <w:rFonts w:ascii="Roboto" w:hAnsi="Roboto"/>
              </w:rPr>
            </w:pPr>
            <w:r>
              <w:rPr>
                <w:rFonts w:ascii="Roboto" w:hAnsi="Roboto"/>
              </w:rPr>
              <w:t>Core Actions</w:t>
            </w:r>
          </w:p>
        </w:tc>
        <w:tc>
          <w:tcPr>
            <w:tcW w:w="2121" w:type="dxa"/>
            <w:tcBorders>
              <w:bottom w:val="single" w:sz="48" w:space="0" w:color="012169"/>
            </w:tcBorders>
            <w:shd w:val="clear" w:color="auto" w:fill="B4C6E7" w:themeFill="accent1" w:themeFillTint="66"/>
          </w:tcPr>
          <w:p w14:paraId="1CBFFD8E" w14:textId="78140970" w:rsidR="00860A5F" w:rsidRDefault="00860A5F" w:rsidP="00C90449">
            <w:pPr>
              <w:jc w:val="center"/>
              <w:rPr>
                <w:rFonts w:ascii="Roboto" w:hAnsi="Roboto"/>
              </w:rPr>
            </w:pPr>
            <w:r>
              <w:rPr>
                <w:rFonts w:ascii="Roboto" w:hAnsi="Roboto"/>
              </w:rPr>
              <w:t>Level One</w:t>
            </w:r>
          </w:p>
          <w:p w14:paraId="0C6EE93C" w14:textId="77777777" w:rsidR="00860A5F" w:rsidRDefault="00860A5F" w:rsidP="00C90449">
            <w:pPr>
              <w:jc w:val="center"/>
              <w:rPr>
                <w:rFonts w:ascii="Roboto" w:hAnsi="Roboto"/>
              </w:rPr>
            </w:pPr>
            <w:r>
              <w:rPr>
                <w:rFonts w:ascii="Roboto" w:hAnsi="Roboto"/>
              </w:rPr>
              <w:t>Novice</w:t>
            </w:r>
          </w:p>
        </w:tc>
        <w:tc>
          <w:tcPr>
            <w:tcW w:w="1823" w:type="dxa"/>
            <w:tcBorders>
              <w:bottom w:val="single" w:sz="48" w:space="0" w:color="012169"/>
            </w:tcBorders>
            <w:shd w:val="clear" w:color="auto" w:fill="B4C6E7" w:themeFill="accent1" w:themeFillTint="66"/>
          </w:tcPr>
          <w:p w14:paraId="15F66290" w14:textId="77777777" w:rsidR="00860A5F" w:rsidRDefault="00860A5F" w:rsidP="00C90449">
            <w:pPr>
              <w:jc w:val="center"/>
              <w:rPr>
                <w:rFonts w:ascii="Roboto" w:hAnsi="Roboto"/>
              </w:rPr>
            </w:pPr>
            <w:r>
              <w:rPr>
                <w:rFonts w:ascii="Roboto" w:hAnsi="Roboto"/>
              </w:rPr>
              <w:t>Level Two</w:t>
            </w:r>
          </w:p>
          <w:p w14:paraId="282FF7E5" w14:textId="77777777" w:rsidR="00860A5F" w:rsidRDefault="00860A5F" w:rsidP="00C90449">
            <w:pPr>
              <w:jc w:val="center"/>
              <w:rPr>
                <w:rFonts w:ascii="Roboto" w:hAnsi="Roboto"/>
              </w:rPr>
            </w:pPr>
            <w:r>
              <w:rPr>
                <w:rFonts w:ascii="Roboto" w:hAnsi="Roboto"/>
              </w:rPr>
              <w:t>Approaching Proficiency</w:t>
            </w:r>
          </w:p>
        </w:tc>
        <w:tc>
          <w:tcPr>
            <w:tcW w:w="2052" w:type="dxa"/>
            <w:tcBorders>
              <w:bottom w:val="single" w:sz="48" w:space="0" w:color="012169"/>
            </w:tcBorders>
            <w:shd w:val="clear" w:color="auto" w:fill="B4C6E7" w:themeFill="accent1" w:themeFillTint="66"/>
          </w:tcPr>
          <w:p w14:paraId="5345CDE7" w14:textId="77777777" w:rsidR="00860A5F" w:rsidRDefault="00860A5F" w:rsidP="00C90449">
            <w:pPr>
              <w:jc w:val="center"/>
              <w:rPr>
                <w:rFonts w:ascii="Roboto" w:hAnsi="Roboto"/>
              </w:rPr>
            </w:pPr>
            <w:r>
              <w:rPr>
                <w:rFonts w:ascii="Roboto" w:hAnsi="Roboto"/>
              </w:rPr>
              <w:t>Level Three</w:t>
            </w:r>
          </w:p>
          <w:p w14:paraId="37F8FC39" w14:textId="77777777" w:rsidR="00860A5F" w:rsidRDefault="00860A5F" w:rsidP="00C90449">
            <w:pPr>
              <w:jc w:val="center"/>
              <w:rPr>
                <w:rFonts w:ascii="Roboto" w:hAnsi="Roboto"/>
              </w:rPr>
            </w:pPr>
            <w:r>
              <w:rPr>
                <w:rFonts w:ascii="Roboto" w:hAnsi="Roboto"/>
              </w:rPr>
              <w:t>Proficient</w:t>
            </w:r>
          </w:p>
        </w:tc>
        <w:tc>
          <w:tcPr>
            <w:tcW w:w="1901" w:type="dxa"/>
            <w:tcBorders>
              <w:bottom w:val="single" w:sz="48" w:space="0" w:color="012169"/>
            </w:tcBorders>
            <w:shd w:val="clear" w:color="auto" w:fill="B4C6E7" w:themeFill="accent1" w:themeFillTint="66"/>
          </w:tcPr>
          <w:p w14:paraId="65F0E05C" w14:textId="77777777" w:rsidR="00860A5F" w:rsidRDefault="00860A5F" w:rsidP="00C90449">
            <w:pPr>
              <w:jc w:val="center"/>
              <w:rPr>
                <w:rFonts w:ascii="Roboto" w:hAnsi="Roboto"/>
              </w:rPr>
            </w:pPr>
            <w:r>
              <w:rPr>
                <w:rFonts w:ascii="Roboto" w:hAnsi="Roboto"/>
              </w:rPr>
              <w:t>Level Four</w:t>
            </w:r>
          </w:p>
          <w:p w14:paraId="64DC1877" w14:textId="77777777" w:rsidR="00860A5F" w:rsidRDefault="00860A5F" w:rsidP="00C90449">
            <w:pPr>
              <w:jc w:val="center"/>
              <w:rPr>
                <w:rFonts w:ascii="Roboto" w:hAnsi="Roboto"/>
              </w:rPr>
            </w:pPr>
            <w:r>
              <w:rPr>
                <w:rFonts w:ascii="Roboto" w:hAnsi="Roboto"/>
              </w:rPr>
              <w:t>Expert/Leader</w:t>
            </w:r>
          </w:p>
        </w:tc>
      </w:tr>
      <w:tr w:rsidR="00860A5F" w14:paraId="2D26626C" w14:textId="77777777" w:rsidTr="00860A5F">
        <w:tc>
          <w:tcPr>
            <w:tcW w:w="523" w:type="dxa"/>
            <w:tcBorders>
              <w:top w:val="single" w:sz="48" w:space="0" w:color="012169"/>
              <w:bottom w:val="single" w:sz="48" w:space="0" w:color="012169"/>
              <w:right w:val="single" w:sz="4" w:space="0" w:color="B4C6E7" w:themeColor="accent1" w:themeTint="66"/>
            </w:tcBorders>
            <w:shd w:val="clear" w:color="auto" w:fill="B4C6E7" w:themeFill="accent1" w:themeFillTint="66"/>
          </w:tcPr>
          <w:p w14:paraId="62E4BBC2" w14:textId="6543629C" w:rsidR="00860A5F" w:rsidRDefault="00860A5F" w:rsidP="00C90449">
            <w:pPr>
              <w:rPr>
                <w:rFonts w:ascii="Roboto" w:hAnsi="Roboto"/>
              </w:rPr>
            </w:pPr>
            <w:r>
              <w:rPr>
                <w:rFonts w:ascii="Roboto" w:hAnsi="Roboto"/>
              </w:rPr>
              <w:t>1.0</w:t>
            </w:r>
          </w:p>
        </w:tc>
        <w:tc>
          <w:tcPr>
            <w:tcW w:w="2604" w:type="dxa"/>
            <w:tcBorders>
              <w:top w:val="single" w:sz="48" w:space="0" w:color="012169"/>
              <w:left w:val="single" w:sz="4" w:space="0" w:color="B4C6E7" w:themeColor="accent1" w:themeTint="66"/>
              <w:bottom w:val="single" w:sz="48" w:space="0" w:color="012169"/>
            </w:tcBorders>
            <w:shd w:val="clear" w:color="auto" w:fill="B4C6E7" w:themeFill="accent1" w:themeFillTint="66"/>
          </w:tcPr>
          <w:p w14:paraId="1ACFA28A" w14:textId="2AAE5788" w:rsidR="00860A5F" w:rsidRDefault="00860A5F" w:rsidP="00C90449">
            <w:pPr>
              <w:rPr>
                <w:rFonts w:ascii="Roboto" w:hAnsi="Roboto"/>
              </w:rPr>
            </w:pPr>
            <w:r>
              <w:rPr>
                <w:rFonts w:ascii="Roboto" w:hAnsi="Roboto"/>
              </w:rPr>
              <w:t>N</w:t>
            </w:r>
            <w:r w:rsidRPr="00C90449">
              <w:rPr>
                <w:rFonts w:ascii="Roboto" w:hAnsi="Roboto"/>
              </w:rPr>
              <w:t>avigates organizational structures and systems</w:t>
            </w:r>
          </w:p>
        </w:tc>
        <w:tc>
          <w:tcPr>
            <w:tcW w:w="523" w:type="dxa"/>
            <w:tcBorders>
              <w:top w:val="single" w:sz="48" w:space="0" w:color="012169"/>
              <w:bottom w:val="single" w:sz="48" w:space="0" w:color="012169"/>
              <w:right w:val="single" w:sz="4" w:space="0" w:color="D9E2F3" w:themeColor="accent1" w:themeTint="33"/>
            </w:tcBorders>
            <w:shd w:val="clear" w:color="auto" w:fill="D9E2F3" w:themeFill="accent1" w:themeFillTint="33"/>
          </w:tcPr>
          <w:p w14:paraId="29D09B49" w14:textId="572F3289" w:rsidR="00860A5F" w:rsidRPr="00C90449" w:rsidRDefault="00860A5F" w:rsidP="00C90449">
            <w:pPr>
              <w:rPr>
                <w:rFonts w:ascii="Roboto" w:hAnsi="Roboto"/>
              </w:rPr>
            </w:pPr>
            <w:r>
              <w:rPr>
                <w:rFonts w:ascii="Roboto" w:hAnsi="Roboto"/>
              </w:rPr>
              <w:t>1.1</w:t>
            </w:r>
          </w:p>
        </w:tc>
        <w:tc>
          <w:tcPr>
            <w:tcW w:w="2843" w:type="dxa"/>
            <w:tcBorders>
              <w:top w:val="single" w:sz="48" w:space="0" w:color="012169"/>
              <w:left w:val="single" w:sz="4" w:space="0" w:color="D9E2F3" w:themeColor="accent1" w:themeTint="33"/>
              <w:bottom w:val="single" w:sz="48" w:space="0" w:color="012169"/>
            </w:tcBorders>
            <w:shd w:val="clear" w:color="auto" w:fill="D9E2F3" w:themeFill="accent1" w:themeFillTint="33"/>
          </w:tcPr>
          <w:p w14:paraId="2A9B4D4B" w14:textId="12678E73" w:rsidR="00860A5F" w:rsidRDefault="00860A5F" w:rsidP="00C90449">
            <w:pPr>
              <w:rPr>
                <w:rFonts w:ascii="Roboto" w:hAnsi="Roboto"/>
              </w:rPr>
            </w:pPr>
            <w:r w:rsidRPr="00C90449">
              <w:rPr>
                <w:rFonts w:ascii="Roboto" w:hAnsi="Roboto"/>
              </w:rPr>
              <w:t>Fits work performance to the organizational structure</w:t>
            </w:r>
          </w:p>
        </w:tc>
        <w:tc>
          <w:tcPr>
            <w:tcW w:w="2121" w:type="dxa"/>
            <w:tcBorders>
              <w:top w:val="single" w:sz="48" w:space="0" w:color="012169"/>
              <w:bottom w:val="single" w:sz="48" w:space="0" w:color="012169"/>
            </w:tcBorders>
          </w:tcPr>
          <w:p w14:paraId="22F102D3" w14:textId="77777777" w:rsidR="00860A5F" w:rsidRPr="00C90449" w:rsidRDefault="00860A5F" w:rsidP="00C90449">
            <w:pPr>
              <w:rPr>
                <w:rFonts w:ascii="Roboto" w:hAnsi="Roboto"/>
                <w:sz w:val="18"/>
                <w:szCs w:val="18"/>
              </w:rPr>
            </w:pPr>
            <w:r w:rsidRPr="00C90449">
              <w:rPr>
                <w:rFonts w:ascii="Roboto" w:hAnsi="Roboto"/>
                <w:sz w:val="18"/>
                <w:szCs w:val="18"/>
              </w:rPr>
              <w:t>Articulates structure of the organization, e.g., staff roles/responsibilities, footprint, policies and procedures, reward system, guidelines for use of technology</w:t>
            </w:r>
          </w:p>
        </w:tc>
        <w:tc>
          <w:tcPr>
            <w:tcW w:w="1823" w:type="dxa"/>
            <w:tcBorders>
              <w:top w:val="single" w:sz="48" w:space="0" w:color="012169"/>
              <w:bottom w:val="single" w:sz="48" w:space="0" w:color="012169"/>
            </w:tcBorders>
          </w:tcPr>
          <w:p w14:paraId="1306248F" w14:textId="77777777" w:rsidR="00860A5F" w:rsidRPr="00C90449" w:rsidRDefault="00860A5F" w:rsidP="00C90449">
            <w:pPr>
              <w:rPr>
                <w:rFonts w:ascii="Roboto" w:hAnsi="Roboto"/>
                <w:sz w:val="18"/>
                <w:szCs w:val="18"/>
              </w:rPr>
            </w:pPr>
            <w:r w:rsidRPr="00C90449">
              <w:rPr>
                <w:rFonts w:ascii="Roboto" w:hAnsi="Roboto"/>
                <w:sz w:val="18"/>
                <w:szCs w:val="18"/>
              </w:rPr>
              <w:t>Functions effectively within the organizational structure, e.g., recognizes extent of decision-making authority, reports as required, asks permission before reducing a price, adheres to regulations regarding use of social media, follows chain of command/ hierarchy</w:t>
            </w:r>
          </w:p>
        </w:tc>
        <w:tc>
          <w:tcPr>
            <w:tcW w:w="2052" w:type="dxa"/>
            <w:tcBorders>
              <w:top w:val="single" w:sz="48" w:space="0" w:color="012169"/>
              <w:bottom w:val="single" w:sz="48" w:space="0" w:color="012169"/>
            </w:tcBorders>
          </w:tcPr>
          <w:p w14:paraId="6DB5357F" w14:textId="77777777" w:rsidR="00860A5F" w:rsidRPr="00C90449" w:rsidRDefault="00860A5F" w:rsidP="00C90449">
            <w:pPr>
              <w:rPr>
                <w:rFonts w:ascii="Roboto" w:hAnsi="Roboto"/>
                <w:sz w:val="18"/>
                <w:szCs w:val="18"/>
              </w:rPr>
            </w:pPr>
            <w:r w:rsidRPr="00C90449">
              <w:rPr>
                <w:rFonts w:ascii="Roboto" w:hAnsi="Roboto"/>
                <w:sz w:val="18"/>
                <w:szCs w:val="18"/>
              </w:rPr>
              <w:t>Adjusts one’s performance to conform to the organizational structure, e.g., takes on more responsibility to meet requirements for advancement, complies with new policies, uses technology to benefit the organization</w:t>
            </w:r>
          </w:p>
        </w:tc>
        <w:tc>
          <w:tcPr>
            <w:tcW w:w="1901" w:type="dxa"/>
            <w:tcBorders>
              <w:top w:val="single" w:sz="48" w:space="0" w:color="012169"/>
              <w:bottom w:val="single" w:sz="48" w:space="0" w:color="012169"/>
            </w:tcBorders>
          </w:tcPr>
          <w:p w14:paraId="5BD24824" w14:textId="77777777" w:rsidR="00860A5F" w:rsidRPr="00C90449" w:rsidRDefault="00860A5F" w:rsidP="00C90449">
            <w:pPr>
              <w:rPr>
                <w:rFonts w:ascii="Roboto" w:hAnsi="Roboto"/>
                <w:sz w:val="18"/>
                <w:szCs w:val="18"/>
              </w:rPr>
            </w:pPr>
            <w:r w:rsidRPr="00C90449">
              <w:rPr>
                <w:rFonts w:ascii="Roboto" w:hAnsi="Roboto"/>
                <w:sz w:val="18"/>
                <w:szCs w:val="18"/>
              </w:rPr>
              <w:t>Influences others to function effectively within organizational structure</w:t>
            </w:r>
          </w:p>
        </w:tc>
      </w:tr>
      <w:tr w:rsidR="00860A5F" w14:paraId="68AC9C4B" w14:textId="77777777" w:rsidTr="00860A5F">
        <w:tc>
          <w:tcPr>
            <w:tcW w:w="523" w:type="dxa"/>
            <w:tcBorders>
              <w:top w:val="single" w:sz="48" w:space="0" w:color="012169"/>
              <w:bottom w:val="single" w:sz="48" w:space="0" w:color="012169"/>
              <w:right w:val="single" w:sz="4" w:space="0" w:color="B4C6E7" w:themeColor="accent1" w:themeTint="66"/>
            </w:tcBorders>
            <w:shd w:val="clear" w:color="auto" w:fill="B4C6E7" w:themeFill="accent1" w:themeFillTint="66"/>
          </w:tcPr>
          <w:p w14:paraId="3C74536A" w14:textId="05ACADD1" w:rsidR="00860A5F" w:rsidRDefault="00860A5F" w:rsidP="00C90449">
            <w:pPr>
              <w:rPr>
                <w:rFonts w:ascii="Roboto" w:hAnsi="Roboto"/>
              </w:rPr>
            </w:pPr>
            <w:r>
              <w:rPr>
                <w:rFonts w:ascii="Roboto" w:hAnsi="Roboto"/>
              </w:rPr>
              <w:t>2.0</w:t>
            </w:r>
          </w:p>
        </w:tc>
        <w:tc>
          <w:tcPr>
            <w:tcW w:w="2604" w:type="dxa"/>
            <w:tcBorders>
              <w:top w:val="single" w:sz="48" w:space="0" w:color="012169"/>
              <w:left w:val="single" w:sz="4" w:space="0" w:color="B4C6E7" w:themeColor="accent1" w:themeTint="66"/>
              <w:bottom w:val="single" w:sz="48" w:space="0" w:color="012169"/>
            </w:tcBorders>
            <w:shd w:val="clear" w:color="auto" w:fill="B4C6E7" w:themeFill="accent1" w:themeFillTint="66"/>
          </w:tcPr>
          <w:p w14:paraId="349A9ECE" w14:textId="7030EBA4" w:rsidR="00860A5F" w:rsidRDefault="00860A5F" w:rsidP="00C90449">
            <w:pPr>
              <w:rPr>
                <w:rFonts w:ascii="Roboto" w:hAnsi="Roboto"/>
              </w:rPr>
            </w:pPr>
            <w:r>
              <w:rPr>
                <w:rFonts w:ascii="Roboto" w:hAnsi="Roboto"/>
              </w:rPr>
              <w:t>E</w:t>
            </w:r>
            <w:r w:rsidRPr="00C90449">
              <w:rPr>
                <w:rFonts w:ascii="Roboto" w:hAnsi="Roboto"/>
              </w:rPr>
              <w:t>mbodies organizational values</w:t>
            </w:r>
          </w:p>
        </w:tc>
        <w:tc>
          <w:tcPr>
            <w:tcW w:w="523" w:type="dxa"/>
            <w:tcBorders>
              <w:top w:val="single" w:sz="48" w:space="0" w:color="012169"/>
              <w:bottom w:val="single" w:sz="48" w:space="0" w:color="012169"/>
              <w:right w:val="single" w:sz="4" w:space="0" w:color="D9E2F3" w:themeColor="accent1" w:themeTint="33"/>
            </w:tcBorders>
            <w:shd w:val="clear" w:color="auto" w:fill="D9E2F3" w:themeFill="accent1" w:themeFillTint="33"/>
          </w:tcPr>
          <w:p w14:paraId="724AC5C3" w14:textId="55FA4752" w:rsidR="00860A5F" w:rsidRPr="00C90449" w:rsidRDefault="00860A5F" w:rsidP="00C90449">
            <w:pPr>
              <w:rPr>
                <w:rFonts w:ascii="Roboto" w:hAnsi="Roboto"/>
              </w:rPr>
            </w:pPr>
            <w:r>
              <w:rPr>
                <w:rFonts w:ascii="Roboto" w:hAnsi="Roboto"/>
              </w:rPr>
              <w:t>2.1</w:t>
            </w:r>
          </w:p>
        </w:tc>
        <w:tc>
          <w:tcPr>
            <w:tcW w:w="2843" w:type="dxa"/>
            <w:tcBorders>
              <w:top w:val="single" w:sz="48" w:space="0" w:color="012169"/>
              <w:left w:val="single" w:sz="4" w:space="0" w:color="D9E2F3" w:themeColor="accent1" w:themeTint="33"/>
              <w:bottom w:val="single" w:sz="48" w:space="0" w:color="012169"/>
            </w:tcBorders>
            <w:shd w:val="clear" w:color="auto" w:fill="D9E2F3" w:themeFill="accent1" w:themeFillTint="33"/>
          </w:tcPr>
          <w:p w14:paraId="2ACB08F3" w14:textId="42E1FA43" w:rsidR="00860A5F" w:rsidRDefault="00860A5F" w:rsidP="00C90449">
            <w:pPr>
              <w:rPr>
                <w:rFonts w:ascii="Roboto" w:hAnsi="Roboto"/>
              </w:rPr>
            </w:pPr>
            <w:r w:rsidRPr="00C90449">
              <w:rPr>
                <w:rFonts w:ascii="Roboto" w:hAnsi="Roboto"/>
              </w:rPr>
              <w:t>Works in a manner that reflects organizational values</w:t>
            </w:r>
          </w:p>
        </w:tc>
        <w:tc>
          <w:tcPr>
            <w:tcW w:w="2121" w:type="dxa"/>
            <w:tcBorders>
              <w:top w:val="single" w:sz="48" w:space="0" w:color="012169"/>
              <w:bottom w:val="single" w:sz="48" w:space="0" w:color="012169"/>
            </w:tcBorders>
          </w:tcPr>
          <w:p w14:paraId="4A230A06" w14:textId="77777777" w:rsidR="00860A5F" w:rsidRPr="00C90449" w:rsidRDefault="00860A5F" w:rsidP="00C90449">
            <w:pPr>
              <w:rPr>
                <w:rFonts w:ascii="Roboto" w:hAnsi="Roboto"/>
                <w:sz w:val="18"/>
                <w:szCs w:val="18"/>
              </w:rPr>
            </w:pPr>
            <w:r w:rsidRPr="00C90449">
              <w:rPr>
                <w:rFonts w:ascii="Roboto" w:hAnsi="Roboto"/>
                <w:sz w:val="18"/>
                <w:szCs w:val="18"/>
              </w:rPr>
              <w:t xml:space="preserve">Describes organization’s story, vision, mission, values, and goals as they relate to product, customer, and market, e.g., evolution of family-operated business to a franchise, change of product over years, rationale for targeted customer demographic, </w:t>
            </w:r>
            <w:r w:rsidRPr="00C90449">
              <w:rPr>
                <w:rFonts w:ascii="Roboto" w:hAnsi="Roboto"/>
                <w:sz w:val="18"/>
                <w:szCs w:val="18"/>
              </w:rPr>
              <w:lastRenderedPageBreak/>
              <w:t>shares org story with customer</w:t>
            </w:r>
          </w:p>
        </w:tc>
        <w:tc>
          <w:tcPr>
            <w:tcW w:w="1823" w:type="dxa"/>
            <w:tcBorders>
              <w:top w:val="single" w:sz="48" w:space="0" w:color="012169"/>
              <w:bottom w:val="single" w:sz="48" w:space="0" w:color="012169"/>
            </w:tcBorders>
          </w:tcPr>
          <w:p w14:paraId="3D44676A" w14:textId="77777777" w:rsidR="00860A5F" w:rsidRPr="00C90449" w:rsidRDefault="00860A5F" w:rsidP="00C90449">
            <w:pPr>
              <w:rPr>
                <w:rFonts w:ascii="Roboto" w:hAnsi="Roboto"/>
                <w:sz w:val="18"/>
                <w:szCs w:val="18"/>
              </w:rPr>
            </w:pPr>
            <w:r w:rsidRPr="00C90449">
              <w:rPr>
                <w:rFonts w:ascii="Roboto" w:hAnsi="Roboto"/>
                <w:sz w:val="18"/>
                <w:szCs w:val="18"/>
              </w:rPr>
              <w:lastRenderedPageBreak/>
              <w:t xml:space="preserve">Practices the values and styles of working and communicating that reflect organizational culture, e.g., “the customer is always right,” delivers high quality product, speaks the “jargon of the job,” treats </w:t>
            </w:r>
            <w:r w:rsidRPr="00C90449">
              <w:rPr>
                <w:rFonts w:ascii="Roboto" w:hAnsi="Roboto"/>
                <w:sz w:val="18"/>
                <w:szCs w:val="18"/>
              </w:rPr>
              <w:lastRenderedPageBreak/>
              <w:t>everyone as a customer, recycles paper, finds a way to say “yes,” practices the preferred method of communication (verbal or written)</w:t>
            </w:r>
          </w:p>
        </w:tc>
        <w:tc>
          <w:tcPr>
            <w:tcW w:w="2052" w:type="dxa"/>
            <w:tcBorders>
              <w:top w:val="single" w:sz="48" w:space="0" w:color="012169"/>
              <w:bottom w:val="single" w:sz="48" w:space="0" w:color="012169"/>
            </w:tcBorders>
          </w:tcPr>
          <w:p w14:paraId="0440222E" w14:textId="77777777" w:rsidR="00860A5F" w:rsidRPr="00C90449" w:rsidRDefault="00860A5F" w:rsidP="00C90449">
            <w:pPr>
              <w:rPr>
                <w:rFonts w:ascii="Roboto" w:hAnsi="Roboto"/>
                <w:sz w:val="18"/>
                <w:szCs w:val="18"/>
              </w:rPr>
            </w:pPr>
            <w:r w:rsidRPr="00C90449">
              <w:rPr>
                <w:rFonts w:ascii="Roboto" w:hAnsi="Roboto"/>
                <w:sz w:val="18"/>
                <w:szCs w:val="18"/>
              </w:rPr>
              <w:lastRenderedPageBreak/>
              <w:t>Assimilates organizational purpose, story and values in the way one works, e.g., reads books and documents the supervisors read, distinguishes among business cultures</w:t>
            </w:r>
          </w:p>
        </w:tc>
        <w:tc>
          <w:tcPr>
            <w:tcW w:w="1901" w:type="dxa"/>
            <w:tcBorders>
              <w:top w:val="single" w:sz="48" w:space="0" w:color="012169"/>
              <w:bottom w:val="single" w:sz="48" w:space="0" w:color="012169"/>
            </w:tcBorders>
          </w:tcPr>
          <w:p w14:paraId="2B6BFBEE" w14:textId="77777777" w:rsidR="00860A5F" w:rsidRPr="00C90449" w:rsidRDefault="00860A5F" w:rsidP="00C90449">
            <w:pPr>
              <w:rPr>
                <w:rFonts w:ascii="Roboto" w:hAnsi="Roboto"/>
                <w:sz w:val="18"/>
                <w:szCs w:val="18"/>
              </w:rPr>
            </w:pPr>
            <w:r w:rsidRPr="00C90449">
              <w:rPr>
                <w:rFonts w:ascii="Roboto" w:hAnsi="Roboto"/>
                <w:sz w:val="18"/>
                <w:szCs w:val="18"/>
              </w:rPr>
              <w:t xml:space="preserve">Personifies organizational culture, e.g., organizational practices are habitual, acts as an ambassador of the organization at external events, represents the company in a positive manner, </w:t>
            </w:r>
            <w:r w:rsidRPr="00C90449">
              <w:rPr>
                <w:rFonts w:ascii="Roboto" w:hAnsi="Roboto"/>
                <w:sz w:val="18"/>
                <w:szCs w:val="18"/>
              </w:rPr>
              <w:lastRenderedPageBreak/>
              <w:t>joins outside organizations</w:t>
            </w:r>
          </w:p>
        </w:tc>
      </w:tr>
      <w:tr w:rsidR="00860A5F" w14:paraId="6B4DEBEA" w14:textId="77777777" w:rsidTr="00860A5F">
        <w:tc>
          <w:tcPr>
            <w:tcW w:w="523" w:type="dxa"/>
            <w:tcBorders>
              <w:top w:val="single" w:sz="48" w:space="0" w:color="012169"/>
              <w:right w:val="single" w:sz="4" w:space="0" w:color="B4C6E7" w:themeColor="accent1" w:themeTint="66"/>
            </w:tcBorders>
            <w:shd w:val="clear" w:color="auto" w:fill="B4C6E7" w:themeFill="accent1" w:themeFillTint="66"/>
          </w:tcPr>
          <w:p w14:paraId="7ED21635" w14:textId="1B381D19" w:rsidR="00860A5F" w:rsidRDefault="00860A5F" w:rsidP="00C90449">
            <w:pPr>
              <w:rPr>
                <w:rFonts w:ascii="Roboto" w:hAnsi="Roboto"/>
              </w:rPr>
            </w:pPr>
            <w:r>
              <w:rPr>
                <w:rFonts w:ascii="Roboto" w:hAnsi="Roboto"/>
              </w:rPr>
              <w:lastRenderedPageBreak/>
              <w:t>3.0</w:t>
            </w:r>
          </w:p>
        </w:tc>
        <w:tc>
          <w:tcPr>
            <w:tcW w:w="2604" w:type="dxa"/>
            <w:tcBorders>
              <w:top w:val="single" w:sz="48" w:space="0" w:color="012169"/>
              <w:left w:val="single" w:sz="4" w:space="0" w:color="B4C6E7" w:themeColor="accent1" w:themeTint="66"/>
            </w:tcBorders>
            <w:shd w:val="clear" w:color="auto" w:fill="B4C6E7" w:themeFill="accent1" w:themeFillTint="66"/>
          </w:tcPr>
          <w:p w14:paraId="40F4EA59" w14:textId="1BAEEAE4" w:rsidR="00860A5F" w:rsidRDefault="00860A5F" w:rsidP="00C90449">
            <w:pPr>
              <w:rPr>
                <w:rFonts w:ascii="Roboto" w:hAnsi="Roboto"/>
              </w:rPr>
            </w:pPr>
            <w:r>
              <w:rPr>
                <w:rFonts w:ascii="Roboto" w:hAnsi="Roboto"/>
              </w:rPr>
              <w:t>P</w:t>
            </w:r>
            <w:r w:rsidRPr="00C90449">
              <w:rPr>
                <w:rFonts w:ascii="Roboto" w:hAnsi="Roboto"/>
              </w:rPr>
              <w:t>erforms work that advances organizational growth and success</w:t>
            </w:r>
          </w:p>
        </w:tc>
        <w:tc>
          <w:tcPr>
            <w:tcW w:w="523" w:type="dxa"/>
            <w:tcBorders>
              <w:top w:val="single" w:sz="48" w:space="0" w:color="012169"/>
              <w:right w:val="single" w:sz="4" w:space="0" w:color="D9E2F3" w:themeColor="accent1" w:themeTint="33"/>
            </w:tcBorders>
            <w:shd w:val="clear" w:color="auto" w:fill="D9E2F3" w:themeFill="accent1" w:themeFillTint="33"/>
          </w:tcPr>
          <w:p w14:paraId="26859667" w14:textId="669B3DD5" w:rsidR="00860A5F" w:rsidRPr="00C90449" w:rsidRDefault="00860A5F" w:rsidP="00C90449">
            <w:pPr>
              <w:rPr>
                <w:rFonts w:ascii="Roboto" w:hAnsi="Roboto"/>
              </w:rPr>
            </w:pPr>
            <w:r>
              <w:rPr>
                <w:rFonts w:ascii="Roboto" w:hAnsi="Roboto"/>
              </w:rPr>
              <w:t>3.1</w:t>
            </w:r>
          </w:p>
        </w:tc>
        <w:tc>
          <w:tcPr>
            <w:tcW w:w="2843" w:type="dxa"/>
            <w:tcBorders>
              <w:top w:val="single" w:sz="48" w:space="0" w:color="012169"/>
              <w:left w:val="single" w:sz="4" w:space="0" w:color="D9E2F3" w:themeColor="accent1" w:themeTint="33"/>
            </w:tcBorders>
            <w:shd w:val="clear" w:color="auto" w:fill="D9E2F3" w:themeFill="accent1" w:themeFillTint="33"/>
          </w:tcPr>
          <w:p w14:paraId="0ECF30E7" w14:textId="3991B97C" w:rsidR="00860A5F" w:rsidRDefault="00860A5F" w:rsidP="00C90449">
            <w:pPr>
              <w:rPr>
                <w:rFonts w:ascii="Roboto" w:hAnsi="Roboto"/>
              </w:rPr>
            </w:pPr>
            <w:r w:rsidRPr="00C90449">
              <w:rPr>
                <w:rFonts w:ascii="Roboto" w:hAnsi="Roboto"/>
              </w:rPr>
              <w:t>Contributes to organizational success</w:t>
            </w:r>
          </w:p>
        </w:tc>
        <w:tc>
          <w:tcPr>
            <w:tcW w:w="2121" w:type="dxa"/>
            <w:tcBorders>
              <w:top w:val="single" w:sz="48" w:space="0" w:color="012169"/>
            </w:tcBorders>
          </w:tcPr>
          <w:p w14:paraId="3D93B5DB" w14:textId="77777777" w:rsidR="00860A5F" w:rsidRPr="00C90449" w:rsidRDefault="00860A5F" w:rsidP="00C90449">
            <w:pPr>
              <w:rPr>
                <w:rFonts w:ascii="Roboto" w:hAnsi="Roboto"/>
                <w:sz w:val="18"/>
                <w:szCs w:val="18"/>
              </w:rPr>
            </w:pPr>
            <w:r w:rsidRPr="00C90449">
              <w:rPr>
                <w:rFonts w:ascii="Roboto" w:hAnsi="Roboto"/>
                <w:sz w:val="18"/>
                <w:szCs w:val="18"/>
              </w:rPr>
              <w:t>Articulates how one’s work contributes to organizational growth and success, e.g., takes ownership for company success, describes organizational quality standards</w:t>
            </w:r>
          </w:p>
        </w:tc>
        <w:tc>
          <w:tcPr>
            <w:tcW w:w="1823" w:type="dxa"/>
            <w:tcBorders>
              <w:top w:val="single" w:sz="48" w:space="0" w:color="012169"/>
            </w:tcBorders>
          </w:tcPr>
          <w:p w14:paraId="66B46547" w14:textId="77777777" w:rsidR="00860A5F" w:rsidRPr="00C90449" w:rsidRDefault="00860A5F" w:rsidP="00C90449">
            <w:pPr>
              <w:rPr>
                <w:rFonts w:ascii="Roboto" w:hAnsi="Roboto"/>
                <w:sz w:val="18"/>
                <w:szCs w:val="18"/>
              </w:rPr>
            </w:pPr>
            <w:r w:rsidRPr="00C90449">
              <w:rPr>
                <w:rFonts w:ascii="Roboto" w:hAnsi="Roboto"/>
                <w:sz w:val="18"/>
                <w:szCs w:val="18"/>
              </w:rPr>
              <w:t>Aligns work activities with organizational growth targets and success factors, e.g., assesses how contributions lead to organizational success, ensures that work meets organizational quality standards</w:t>
            </w:r>
          </w:p>
        </w:tc>
        <w:tc>
          <w:tcPr>
            <w:tcW w:w="2052" w:type="dxa"/>
            <w:tcBorders>
              <w:top w:val="single" w:sz="48" w:space="0" w:color="012169"/>
            </w:tcBorders>
          </w:tcPr>
          <w:p w14:paraId="319E4304" w14:textId="77777777" w:rsidR="00860A5F" w:rsidRPr="00C90449" w:rsidRDefault="00860A5F" w:rsidP="00C90449">
            <w:pPr>
              <w:rPr>
                <w:rFonts w:ascii="Roboto" w:hAnsi="Roboto"/>
                <w:sz w:val="18"/>
                <w:szCs w:val="18"/>
              </w:rPr>
            </w:pPr>
            <w:r w:rsidRPr="00C90449">
              <w:rPr>
                <w:rFonts w:ascii="Roboto" w:hAnsi="Roboto"/>
                <w:sz w:val="18"/>
                <w:szCs w:val="18"/>
              </w:rPr>
              <w:t>Produces work that contributes to organizational growth and success, e.g., brings in projects/customers, improves workflow processes, scopes out the competition, documents contributions, creates competitive edge in the marketplace</w:t>
            </w:r>
          </w:p>
        </w:tc>
        <w:tc>
          <w:tcPr>
            <w:tcW w:w="1901" w:type="dxa"/>
            <w:tcBorders>
              <w:top w:val="single" w:sz="48" w:space="0" w:color="012169"/>
            </w:tcBorders>
          </w:tcPr>
          <w:p w14:paraId="1F7DAB59" w14:textId="77777777" w:rsidR="00860A5F" w:rsidRPr="00C90449" w:rsidRDefault="00860A5F" w:rsidP="00C90449">
            <w:pPr>
              <w:rPr>
                <w:rFonts w:ascii="Roboto" w:hAnsi="Roboto"/>
                <w:sz w:val="18"/>
                <w:szCs w:val="18"/>
              </w:rPr>
            </w:pPr>
            <w:r w:rsidRPr="00C90449">
              <w:rPr>
                <w:rFonts w:ascii="Roboto" w:hAnsi="Roboto"/>
                <w:sz w:val="18"/>
                <w:szCs w:val="18"/>
              </w:rPr>
              <w:t>Generates work that creates opportunities for organizational growth,</w:t>
            </w:r>
          </w:p>
          <w:p w14:paraId="33234655" w14:textId="546C59C7" w:rsidR="00860A5F" w:rsidRPr="00C90449" w:rsidRDefault="00860A5F" w:rsidP="00C90449">
            <w:pPr>
              <w:rPr>
                <w:rFonts w:ascii="Roboto" w:hAnsi="Roboto"/>
                <w:sz w:val="18"/>
                <w:szCs w:val="18"/>
              </w:rPr>
            </w:pPr>
            <w:r w:rsidRPr="00C90449">
              <w:rPr>
                <w:rFonts w:ascii="Roboto" w:hAnsi="Roboto"/>
                <w:sz w:val="18"/>
                <w:szCs w:val="18"/>
              </w:rPr>
              <w:t>e.g., assesses impact of co</w:t>
            </w:r>
            <w:r w:rsidR="00593C20">
              <w:rPr>
                <w:rFonts w:ascii="Roboto" w:hAnsi="Roboto"/>
                <w:sz w:val="18"/>
                <w:szCs w:val="18"/>
              </w:rPr>
              <w:t>mpletion of</w:t>
            </w:r>
            <w:r w:rsidRPr="00C90449">
              <w:rPr>
                <w:rFonts w:ascii="Roboto" w:hAnsi="Roboto"/>
                <w:sz w:val="18"/>
                <w:szCs w:val="18"/>
              </w:rPr>
              <w:t xml:space="preserve"> projects </w:t>
            </w:r>
            <w:r w:rsidR="00593C20">
              <w:rPr>
                <w:rFonts w:ascii="Roboto" w:hAnsi="Roboto"/>
                <w:sz w:val="18"/>
                <w:szCs w:val="18"/>
              </w:rPr>
              <w:t xml:space="preserve">and </w:t>
            </w:r>
            <w:r w:rsidRPr="00C90449">
              <w:rPr>
                <w:rFonts w:ascii="Roboto" w:hAnsi="Roboto"/>
                <w:sz w:val="18"/>
                <w:szCs w:val="18"/>
              </w:rPr>
              <w:t>budgets, contributes to the business plan</w:t>
            </w:r>
          </w:p>
        </w:tc>
      </w:tr>
    </w:tbl>
    <w:p w14:paraId="27606353" w14:textId="77777777" w:rsidR="00946908" w:rsidRDefault="00946908"/>
    <w:sectPr w:rsidR="00946908" w:rsidSect="00C90449">
      <w:footerReference w:type="default" r:id="rId7"/>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8311A" w14:textId="77777777" w:rsidR="002E1779" w:rsidRDefault="002E1779" w:rsidP="00A61579">
      <w:pPr>
        <w:spacing w:after="0" w:line="240" w:lineRule="auto"/>
      </w:pPr>
      <w:r>
        <w:separator/>
      </w:r>
    </w:p>
  </w:endnote>
  <w:endnote w:type="continuationSeparator" w:id="0">
    <w:p w14:paraId="05FA4F74" w14:textId="77777777" w:rsidR="002E1779" w:rsidRDefault="002E1779" w:rsidP="00A615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Arial"/>
    <w:panose1 w:val="02000000000000000000"/>
    <w:charset w:val="00"/>
    <w:family w:val="auto"/>
    <w:pitch w:val="variable"/>
    <w:sig w:usb0="E00002FF" w:usb1="5000205B" w:usb2="00000020"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59356" w14:textId="77777777" w:rsidR="00A61579" w:rsidRDefault="00A61579" w:rsidP="00A61579">
    <w:pPr>
      <w:pStyle w:val="Footer"/>
    </w:pPr>
    <w:bookmarkStart w:id="0" w:name="_Hlk60995943"/>
    <w:r>
      <w:rPr>
        <w:rFonts w:ascii="Roboto" w:hAnsi="Roboto"/>
      </w:rPr>
      <w:t>Arizona Professional Skills</w:t>
    </w:r>
    <w:r>
      <w:rPr>
        <w:rFonts w:ascii="Roboto" w:hAnsi="Roboto"/>
      </w:rPr>
      <w:ptab w:relativeTo="margin" w:alignment="center" w:leader="none"/>
    </w:r>
    <w:r>
      <w:rPr>
        <w:rFonts w:ascii="Roboto" w:hAnsi="Roboto"/>
      </w:rPr>
      <w:t xml:space="preserve"> </w:t>
    </w:r>
    <w:r>
      <w:rPr>
        <w:rFonts w:ascii="Roboto" w:hAnsi="Roboto"/>
      </w:rPr>
      <w:ptab w:relativeTo="margin" w:alignment="right" w:leader="none"/>
    </w:r>
    <w:r>
      <w:rPr>
        <w:rFonts w:ascii="Roboto" w:hAnsi="Roboto"/>
      </w:rPr>
      <w:t xml:space="preserve">Approved by the Arizona Skill Standards Commission 12/2012 </w:t>
    </w:r>
  </w:p>
  <w:bookmarkEnd w:id="0"/>
  <w:p w14:paraId="6367E9E5" w14:textId="0D84B4C0" w:rsidR="00A61579" w:rsidRDefault="00A61579">
    <w:pPr>
      <w:pStyle w:val="Footer"/>
    </w:pPr>
  </w:p>
  <w:p w14:paraId="5C74B8A8" w14:textId="77777777" w:rsidR="00A61579" w:rsidRDefault="00A615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6D5CA1" w14:textId="77777777" w:rsidR="002E1779" w:rsidRDefault="002E1779" w:rsidP="00A61579">
      <w:pPr>
        <w:spacing w:after="0" w:line="240" w:lineRule="auto"/>
      </w:pPr>
      <w:r>
        <w:separator/>
      </w:r>
    </w:p>
  </w:footnote>
  <w:footnote w:type="continuationSeparator" w:id="0">
    <w:p w14:paraId="33DDBCA8" w14:textId="77777777" w:rsidR="002E1779" w:rsidRDefault="002E1779" w:rsidP="00A6157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449"/>
    <w:rsid w:val="002E1779"/>
    <w:rsid w:val="00593C20"/>
    <w:rsid w:val="005F20D6"/>
    <w:rsid w:val="00604B19"/>
    <w:rsid w:val="00860A5F"/>
    <w:rsid w:val="00946908"/>
    <w:rsid w:val="009A2499"/>
    <w:rsid w:val="00A215CD"/>
    <w:rsid w:val="00A61579"/>
    <w:rsid w:val="00C90449"/>
    <w:rsid w:val="00D91F70"/>
    <w:rsid w:val="00ED36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23FF3"/>
  <w15:chartTrackingRefBased/>
  <w15:docId w15:val="{E1BD3B16-7377-4AD0-BBCE-F178D0F50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04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04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615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1579"/>
  </w:style>
  <w:style w:type="paragraph" w:styleId="Footer">
    <w:name w:val="footer"/>
    <w:basedOn w:val="Normal"/>
    <w:link w:val="FooterChar"/>
    <w:uiPriority w:val="99"/>
    <w:unhideWhenUsed/>
    <w:rsid w:val="00A615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15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511</Words>
  <Characters>2916</Characters>
  <Application>Microsoft Office Word</Application>
  <DocSecurity>0</DocSecurity>
  <Lines>24</Lines>
  <Paragraphs>6</Paragraphs>
  <ScaleCrop>false</ScaleCrop>
  <Company/>
  <LinksUpToDate>false</LinksUpToDate>
  <CharactersWithSpaces>3421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Hardy</dc:creator>
  <cp:keywords/>
  <dc:description/>
  <cp:lastModifiedBy>Shumate, Julie</cp:lastModifiedBy>
  <cp:revision>2</cp:revision>
  <dcterms:created xsi:type="dcterms:W3CDTF">2022-08-29T18:11:00Z</dcterms:created>
  <dcterms:modified xsi:type="dcterms:W3CDTF">2022-08-29T18:11:00Z</dcterms:modified>
</cp:coreProperties>
</file>