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BC67" w14:textId="32860D57" w:rsidR="009E2F0B" w:rsidRDefault="00674B05" w:rsidP="009E2F0B">
      <w:pPr>
        <w:rPr>
          <w:rFonts w:ascii="Roboto" w:hAnsi="Roboto"/>
          <w:b/>
          <w:bCs/>
          <w:sz w:val="28"/>
          <w:szCs w:val="28"/>
          <w:u w:val="single"/>
        </w:rPr>
      </w:pPr>
      <w:r w:rsidRPr="00E04D0F">
        <w:rPr>
          <w:rFonts w:ascii="Arial Black" w:hAnsi="Arial Black"/>
          <w:noProof/>
          <w:color w:val="FFFFFF" w:themeColor="background1"/>
          <w:sz w:val="36"/>
          <w:szCs w:val="36"/>
        </w:rPr>
        <w:drawing>
          <wp:anchor distT="0" distB="0" distL="114300" distR="114300" simplePos="0" relativeHeight="251661312" behindDoc="0" locked="0" layoutInCell="1" allowOverlap="1" wp14:anchorId="4090385C" wp14:editId="7CB55A01">
            <wp:simplePos x="0" y="0"/>
            <wp:positionH relativeFrom="margin">
              <wp:align>right</wp:align>
            </wp:positionH>
            <wp:positionV relativeFrom="paragraph">
              <wp:posOffset>-316230</wp:posOffset>
            </wp:positionV>
            <wp:extent cx="1095375" cy="1095375"/>
            <wp:effectExtent l="0" t="0" r="9525" b="952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923167">
        <w:rPr>
          <w:rFonts w:ascii="Roboto" w:hAnsi="Roboto"/>
          <w:b/>
          <w:bCs/>
          <w:noProof/>
          <w:sz w:val="28"/>
          <w:szCs w:val="28"/>
          <w:u w:val="single"/>
        </w:rPr>
        <mc:AlternateContent>
          <mc:Choice Requires="wps">
            <w:drawing>
              <wp:anchor distT="45720" distB="45720" distL="114300" distR="114300" simplePos="0" relativeHeight="251659264" behindDoc="0" locked="0" layoutInCell="1" allowOverlap="1" wp14:anchorId="2C953833" wp14:editId="6B443D2E">
                <wp:simplePos x="0" y="0"/>
                <wp:positionH relativeFrom="margin">
                  <wp:align>left</wp:align>
                </wp:positionH>
                <wp:positionV relativeFrom="paragraph">
                  <wp:posOffset>0</wp:posOffset>
                </wp:positionV>
                <wp:extent cx="911542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04620"/>
                        </a:xfrm>
                        <a:prstGeom prst="rect">
                          <a:avLst/>
                        </a:prstGeom>
                        <a:solidFill>
                          <a:srgbClr val="FFFFFF"/>
                        </a:solidFill>
                        <a:ln w="9525">
                          <a:noFill/>
                          <a:miter lim="800000"/>
                          <a:headEnd/>
                          <a:tailEnd/>
                        </a:ln>
                      </wps:spPr>
                      <wps:txbx>
                        <w:txbxContent>
                          <w:p w14:paraId="2584D166" w14:textId="77777777" w:rsidR="00674B05" w:rsidRPr="00923167" w:rsidRDefault="00674B05" w:rsidP="00674B05">
                            <w:pPr>
                              <w:jc w:val="center"/>
                              <w:rPr>
                                <w:b/>
                                <w:bCs/>
                                <w:sz w:val="32"/>
                                <w:szCs w:val="32"/>
                              </w:rPr>
                            </w:pPr>
                            <w:r w:rsidRPr="00923167">
                              <w:rPr>
                                <w:b/>
                                <w:bCs/>
                                <w:sz w:val="32"/>
                                <w:szCs w:val="32"/>
                              </w:rPr>
                              <w:t>ARIZONA PROFESSIONAL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53833" id="_x0000_t202" coordsize="21600,21600" o:spt="202" path="m,l,21600r21600,l21600,xe">
                <v:stroke joinstyle="miter"/>
                <v:path gradientshapeok="t" o:connecttype="rect"/>
              </v:shapetype>
              <v:shape id="Text Box 2" o:spid="_x0000_s1026" type="#_x0000_t202" style="position:absolute;margin-left:0;margin-top:0;width:71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" stroked="f">
                <v:textbox style="mso-fit-shape-to-text:t">
                  <w:txbxContent>
                    <w:p w14:paraId="2584D166" w14:textId="77777777" w:rsidR="00674B05" w:rsidRPr="00923167" w:rsidRDefault="00674B05" w:rsidP="00674B05">
                      <w:pPr>
                        <w:jc w:val="center"/>
                        <w:rPr>
                          <w:b/>
                          <w:bCs/>
                          <w:sz w:val="32"/>
                          <w:szCs w:val="32"/>
                        </w:rPr>
                      </w:pPr>
                      <w:r w:rsidRPr="00923167">
                        <w:rPr>
                          <w:b/>
                          <w:bCs/>
                          <w:sz w:val="32"/>
                          <w:szCs w:val="32"/>
                        </w:rPr>
                        <w:t>ARIZONA PROFESSIONAL SKILLS</w:t>
                      </w:r>
                    </w:p>
                  </w:txbxContent>
                </v:textbox>
                <w10:wrap type="square" anchorx="margin"/>
              </v:shape>
            </w:pict>
          </mc:Fallback>
        </mc:AlternateContent>
      </w:r>
      <w:r w:rsidR="009E2F0B" w:rsidRPr="00B7010B">
        <w:rPr>
          <w:rFonts w:ascii="Roboto" w:hAnsi="Roboto"/>
          <w:b/>
          <w:bCs/>
          <w:sz w:val="28"/>
          <w:szCs w:val="28"/>
          <w:u w:val="single"/>
        </w:rPr>
        <w:t xml:space="preserve">STANDARD </w:t>
      </w:r>
      <w:r w:rsidR="009E2F0B">
        <w:rPr>
          <w:rFonts w:ascii="Roboto" w:hAnsi="Roboto"/>
          <w:b/>
          <w:bCs/>
          <w:sz w:val="28"/>
          <w:szCs w:val="28"/>
          <w:u w:val="single"/>
        </w:rPr>
        <w:t>9</w:t>
      </w:r>
      <w:r w:rsidR="009E2F0B" w:rsidRPr="00B7010B">
        <w:rPr>
          <w:rFonts w:ascii="Roboto" w:hAnsi="Roboto"/>
          <w:b/>
          <w:bCs/>
          <w:sz w:val="28"/>
          <w:szCs w:val="28"/>
          <w:u w:val="single"/>
        </w:rPr>
        <w:t xml:space="preserve">: </w:t>
      </w:r>
      <w:r w:rsidR="009E2F0B">
        <w:rPr>
          <w:rFonts w:ascii="Roboto" w:hAnsi="Roboto"/>
          <w:b/>
          <w:bCs/>
          <w:sz w:val="28"/>
          <w:szCs w:val="28"/>
          <w:u w:val="single"/>
        </w:rPr>
        <w:t>FINANCIAL PRACTICES</w:t>
      </w:r>
    </w:p>
    <w:p w14:paraId="121F72DE" w14:textId="6B495D9D" w:rsidR="009E2F0B" w:rsidRPr="00DC0520" w:rsidRDefault="00DC0520" w:rsidP="009E2F0B">
      <w:r>
        <w:t>The Workplace Professional Skills should be used in tandem with the technical standards.  The Core Actions are descriptions of the Measurement Criteria. High School students should strive to meet the Level One-Novice descriptions.  Level Two through Level Four offer teachers and students the accomplishments to be obtained beyond the Novice level. The aim of this standard applies knowledge of finances for the profitability and viability of the organization.</w:t>
      </w:r>
    </w:p>
    <w:tbl>
      <w:tblPr>
        <w:tblStyle w:val="TableGrid"/>
        <w:tblW w:w="0" w:type="auto"/>
        <w:tblLook w:val="04A0" w:firstRow="1" w:lastRow="0" w:firstColumn="1" w:lastColumn="0" w:noHBand="0" w:noVBand="1"/>
      </w:tblPr>
      <w:tblGrid>
        <w:gridCol w:w="523"/>
        <w:gridCol w:w="2659"/>
        <w:gridCol w:w="523"/>
        <w:gridCol w:w="2966"/>
        <w:gridCol w:w="1869"/>
        <w:gridCol w:w="1865"/>
        <w:gridCol w:w="1849"/>
        <w:gridCol w:w="2136"/>
      </w:tblGrid>
      <w:tr w:rsidR="008112A1" w14:paraId="48C2D158" w14:textId="77777777" w:rsidTr="008112A1">
        <w:tc>
          <w:tcPr>
            <w:tcW w:w="3182" w:type="dxa"/>
            <w:gridSpan w:val="2"/>
            <w:tcBorders>
              <w:bottom w:val="single" w:sz="48" w:space="0" w:color="012169"/>
            </w:tcBorders>
            <w:shd w:val="clear" w:color="auto" w:fill="B4C6E7" w:themeFill="accent1" w:themeFillTint="66"/>
          </w:tcPr>
          <w:p w14:paraId="57064019" w14:textId="3D055D0B" w:rsidR="008112A1" w:rsidRDefault="008112A1" w:rsidP="00C704F8">
            <w:pPr>
              <w:jc w:val="center"/>
              <w:rPr>
                <w:rFonts w:ascii="Roboto" w:hAnsi="Roboto"/>
              </w:rPr>
            </w:pPr>
            <w:r>
              <w:rPr>
                <w:rFonts w:ascii="Roboto" w:hAnsi="Roboto"/>
              </w:rPr>
              <w:t>Measurement Criteria</w:t>
            </w:r>
          </w:p>
        </w:tc>
        <w:tc>
          <w:tcPr>
            <w:tcW w:w="3489" w:type="dxa"/>
            <w:gridSpan w:val="2"/>
            <w:tcBorders>
              <w:bottom w:val="single" w:sz="48" w:space="0" w:color="012169"/>
            </w:tcBorders>
            <w:shd w:val="clear" w:color="auto" w:fill="B4C6E7" w:themeFill="accent1" w:themeFillTint="66"/>
          </w:tcPr>
          <w:p w14:paraId="25D5E450" w14:textId="7199CEEB" w:rsidR="008112A1" w:rsidRDefault="008112A1" w:rsidP="00C704F8">
            <w:pPr>
              <w:jc w:val="center"/>
              <w:rPr>
                <w:rFonts w:ascii="Roboto" w:hAnsi="Roboto"/>
              </w:rPr>
            </w:pPr>
            <w:r>
              <w:rPr>
                <w:rFonts w:ascii="Roboto" w:hAnsi="Roboto"/>
              </w:rPr>
              <w:t>Core Actions</w:t>
            </w:r>
          </w:p>
        </w:tc>
        <w:tc>
          <w:tcPr>
            <w:tcW w:w="1869" w:type="dxa"/>
            <w:tcBorders>
              <w:bottom w:val="single" w:sz="48" w:space="0" w:color="012169"/>
            </w:tcBorders>
            <w:shd w:val="clear" w:color="auto" w:fill="B4C6E7" w:themeFill="accent1" w:themeFillTint="66"/>
          </w:tcPr>
          <w:p w14:paraId="7804DEF2" w14:textId="77777777" w:rsidR="008112A1" w:rsidRDefault="008112A1" w:rsidP="00C704F8">
            <w:pPr>
              <w:jc w:val="center"/>
              <w:rPr>
                <w:rFonts w:ascii="Roboto" w:hAnsi="Roboto"/>
              </w:rPr>
            </w:pPr>
            <w:r>
              <w:rPr>
                <w:rFonts w:ascii="Roboto" w:hAnsi="Roboto"/>
              </w:rPr>
              <w:t>Level One</w:t>
            </w:r>
          </w:p>
          <w:p w14:paraId="19A493C0" w14:textId="1F4A5CE1" w:rsidR="008112A1" w:rsidRDefault="008112A1" w:rsidP="00C704F8">
            <w:pPr>
              <w:jc w:val="center"/>
              <w:rPr>
                <w:rFonts w:ascii="Roboto" w:hAnsi="Roboto"/>
              </w:rPr>
            </w:pPr>
            <w:r>
              <w:rPr>
                <w:rFonts w:ascii="Roboto" w:hAnsi="Roboto"/>
              </w:rPr>
              <w:t>Novice</w:t>
            </w:r>
          </w:p>
        </w:tc>
        <w:tc>
          <w:tcPr>
            <w:tcW w:w="1865" w:type="dxa"/>
            <w:tcBorders>
              <w:bottom w:val="single" w:sz="48" w:space="0" w:color="012169"/>
            </w:tcBorders>
            <w:shd w:val="clear" w:color="auto" w:fill="B4C6E7" w:themeFill="accent1" w:themeFillTint="66"/>
          </w:tcPr>
          <w:p w14:paraId="0F5F0FE8" w14:textId="77777777" w:rsidR="008112A1" w:rsidRDefault="008112A1" w:rsidP="00C704F8">
            <w:pPr>
              <w:jc w:val="center"/>
              <w:rPr>
                <w:rFonts w:ascii="Roboto" w:hAnsi="Roboto"/>
              </w:rPr>
            </w:pPr>
            <w:r>
              <w:rPr>
                <w:rFonts w:ascii="Roboto" w:hAnsi="Roboto"/>
              </w:rPr>
              <w:t>Level Two</w:t>
            </w:r>
          </w:p>
          <w:p w14:paraId="59C4F98D" w14:textId="47D4F803" w:rsidR="008112A1" w:rsidRDefault="008112A1" w:rsidP="00C704F8">
            <w:pPr>
              <w:jc w:val="center"/>
              <w:rPr>
                <w:rFonts w:ascii="Roboto" w:hAnsi="Roboto"/>
              </w:rPr>
            </w:pPr>
            <w:r>
              <w:rPr>
                <w:rFonts w:ascii="Roboto" w:hAnsi="Roboto"/>
              </w:rPr>
              <w:t>Approaching Proficiency</w:t>
            </w:r>
          </w:p>
        </w:tc>
        <w:tc>
          <w:tcPr>
            <w:tcW w:w="1849" w:type="dxa"/>
            <w:tcBorders>
              <w:bottom w:val="single" w:sz="48" w:space="0" w:color="012169"/>
            </w:tcBorders>
            <w:shd w:val="clear" w:color="auto" w:fill="B4C6E7" w:themeFill="accent1" w:themeFillTint="66"/>
          </w:tcPr>
          <w:p w14:paraId="1E5D6CCA" w14:textId="77777777" w:rsidR="008112A1" w:rsidRDefault="008112A1" w:rsidP="00C704F8">
            <w:pPr>
              <w:jc w:val="center"/>
              <w:rPr>
                <w:rFonts w:ascii="Roboto" w:hAnsi="Roboto"/>
              </w:rPr>
            </w:pPr>
            <w:r>
              <w:rPr>
                <w:rFonts w:ascii="Roboto" w:hAnsi="Roboto"/>
              </w:rPr>
              <w:t>Level Three</w:t>
            </w:r>
          </w:p>
          <w:p w14:paraId="74A67707" w14:textId="7B446DE0" w:rsidR="008112A1" w:rsidRDefault="008112A1" w:rsidP="00C704F8">
            <w:pPr>
              <w:jc w:val="center"/>
              <w:rPr>
                <w:rFonts w:ascii="Roboto" w:hAnsi="Roboto"/>
              </w:rPr>
            </w:pPr>
            <w:r>
              <w:rPr>
                <w:rFonts w:ascii="Roboto" w:hAnsi="Roboto"/>
              </w:rPr>
              <w:t>Proficient</w:t>
            </w:r>
          </w:p>
        </w:tc>
        <w:tc>
          <w:tcPr>
            <w:tcW w:w="2136" w:type="dxa"/>
            <w:tcBorders>
              <w:bottom w:val="single" w:sz="48" w:space="0" w:color="012169"/>
            </w:tcBorders>
            <w:shd w:val="clear" w:color="auto" w:fill="B4C6E7" w:themeFill="accent1" w:themeFillTint="66"/>
          </w:tcPr>
          <w:p w14:paraId="502D194A" w14:textId="77777777" w:rsidR="008112A1" w:rsidRDefault="008112A1" w:rsidP="00C704F8">
            <w:pPr>
              <w:jc w:val="center"/>
              <w:rPr>
                <w:rFonts w:ascii="Roboto" w:hAnsi="Roboto"/>
              </w:rPr>
            </w:pPr>
            <w:r>
              <w:rPr>
                <w:rFonts w:ascii="Roboto" w:hAnsi="Roboto"/>
              </w:rPr>
              <w:t>Level Four</w:t>
            </w:r>
          </w:p>
          <w:p w14:paraId="31313B75" w14:textId="6F21DC3D" w:rsidR="008112A1" w:rsidRDefault="008112A1" w:rsidP="00C704F8">
            <w:pPr>
              <w:jc w:val="center"/>
              <w:rPr>
                <w:rFonts w:ascii="Roboto" w:hAnsi="Roboto"/>
              </w:rPr>
            </w:pPr>
            <w:r>
              <w:rPr>
                <w:rFonts w:ascii="Roboto" w:hAnsi="Roboto"/>
              </w:rPr>
              <w:t>Expert/Leader</w:t>
            </w:r>
          </w:p>
        </w:tc>
      </w:tr>
      <w:tr w:rsidR="008112A1" w14:paraId="3B266475" w14:textId="77777777" w:rsidTr="008112A1">
        <w:tc>
          <w:tcPr>
            <w:tcW w:w="523" w:type="dxa"/>
            <w:tcBorders>
              <w:top w:val="single" w:sz="48" w:space="0" w:color="012169"/>
              <w:bottom w:val="single" w:sz="48" w:space="0" w:color="012169"/>
              <w:right w:val="single" w:sz="4" w:space="0" w:color="B4C6E7" w:themeColor="accent1" w:themeTint="66"/>
            </w:tcBorders>
            <w:shd w:val="clear" w:color="auto" w:fill="B4C6E7" w:themeFill="accent1" w:themeFillTint="66"/>
          </w:tcPr>
          <w:p w14:paraId="05DB3F9C" w14:textId="5D853FF5" w:rsidR="008112A1" w:rsidRDefault="008112A1" w:rsidP="009E2F0B">
            <w:pPr>
              <w:rPr>
                <w:rFonts w:ascii="Roboto" w:hAnsi="Roboto"/>
              </w:rPr>
            </w:pPr>
            <w:r>
              <w:rPr>
                <w:rFonts w:ascii="Roboto" w:hAnsi="Roboto"/>
              </w:rPr>
              <w:t>1.0</w:t>
            </w:r>
          </w:p>
        </w:tc>
        <w:tc>
          <w:tcPr>
            <w:tcW w:w="2659" w:type="dxa"/>
            <w:tcBorders>
              <w:top w:val="single" w:sz="48" w:space="0" w:color="012169"/>
              <w:left w:val="single" w:sz="4" w:space="0" w:color="B4C6E7" w:themeColor="accent1" w:themeTint="66"/>
              <w:bottom w:val="single" w:sz="48" w:space="0" w:color="012169"/>
            </w:tcBorders>
            <w:shd w:val="clear" w:color="auto" w:fill="B4C6E7" w:themeFill="accent1" w:themeFillTint="66"/>
          </w:tcPr>
          <w:p w14:paraId="74E5EEA3" w14:textId="72464D1E" w:rsidR="008112A1" w:rsidRDefault="008112A1" w:rsidP="009E2F0B">
            <w:pPr>
              <w:rPr>
                <w:rFonts w:ascii="Roboto" w:hAnsi="Roboto"/>
              </w:rPr>
            </w:pPr>
            <w:r>
              <w:rPr>
                <w:rFonts w:ascii="Roboto" w:hAnsi="Roboto"/>
              </w:rPr>
              <w:t>E</w:t>
            </w:r>
            <w:r w:rsidRPr="00C704F8">
              <w:rPr>
                <w:rFonts w:ascii="Roboto" w:hAnsi="Roboto"/>
              </w:rPr>
              <w:t>xercises prudence in personal finance as it relates to employment</w:t>
            </w:r>
          </w:p>
        </w:tc>
        <w:tc>
          <w:tcPr>
            <w:tcW w:w="523" w:type="dxa"/>
            <w:tcBorders>
              <w:top w:val="single" w:sz="48" w:space="0" w:color="012169"/>
              <w:bottom w:val="single" w:sz="48" w:space="0" w:color="012169"/>
              <w:right w:val="single" w:sz="4" w:space="0" w:color="D9E2F3" w:themeColor="accent1" w:themeTint="33"/>
            </w:tcBorders>
            <w:shd w:val="clear" w:color="auto" w:fill="D9E2F3" w:themeFill="accent1" w:themeFillTint="33"/>
          </w:tcPr>
          <w:p w14:paraId="2AFA5354" w14:textId="139297AB" w:rsidR="008112A1" w:rsidRPr="00C704F8" w:rsidRDefault="008112A1" w:rsidP="009E2F0B">
            <w:pPr>
              <w:rPr>
                <w:rFonts w:ascii="Roboto" w:hAnsi="Roboto"/>
              </w:rPr>
            </w:pPr>
            <w:r>
              <w:rPr>
                <w:rFonts w:ascii="Roboto" w:hAnsi="Roboto"/>
              </w:rPr>
              <w:t>1.1</w:t>
            </w:r>
          </w:p>
        </w:tc>
        <w:tc>
          <w:tcPr>
            <w:tcW w:w="2966" w:type="dxa"/>
            <w:tcBorders>
              <w:top w:val="single" w:sz="48" w:space="0" w:color="012169"/>
              <w:left w:val="single" w:sz="4" w:space="0" w:color="D9E2F3" w:themeColor="accent1" w:themeTint="33"/>
              <w:bottom w:val="single" w:sz="48" w:space="0" w:color="012169"/>
            </w:tcBorders>
            <w:shd w:val="clear" w:color="auto" w:fill="D9E2F3" w:themeFill="accent1" w:themeFillTint="33"/>
          </w:tcPr>
          <w:p w14:paraId="3400E2F8" w14:textId="13B53D38" w:rsidR="008112A1" w:rsidRDefault="008112A1" w:rsidP="009E2F0B">
            <w:pPr>
              <w:rPr>
                <w:rFonts w:ascii="Roboto" w:hAnsi="Roboto"/>
              </w:rPr>
            </w:pPr>
            <w:r w:rsidRPr="00C704F8">
              <w:rPr>
                <w:rFonts w:ascii="Roboto" w:hAnsi="Roboto"/>
              </w:rPr>
              <w:t>Manages personal finances responsibly</w:t>
            </w:r>
          </w:p>
        </w:tc>
        <w:tc>
          <w:tcPr>
            <w:tcW w:w="1869" w:type="dxa"/>
            <w:tcBorders>
              <w:top w:val="single" w:sz="48" w:space="0" w:color="012169"/>
              <w:bottom w:val="single" w:sz="48" w:space="0" w:color="012169"/>
            </w:tcBorders>
          </w:tcPr>
          <w:p w14:paraId="21101265" w14:textId="71AA413E" w:rsidR="008112A1" w:rsidRPr="00C704F8" w:rsidRDefault="008112A1" w:rsidP="009E2F0B">
            <w:pPr>
              <w:rPr>
                <w:rFonts w:ascii="Roboto" w:hAnsi="Roboto"/>
                <w:sz w:val="18"/>
                <w:szCs w:val="18"/>
              </w:rPr>
            </w:pPr>
            <w:r w:rsidRPr="00C704F8">
              <w:rPr>
                <w:rFonts w:ascii="Roboto" w:hAnsi="Roboto"/>
                <w:sz w:val="18"/>
                <w:szCs w:val="18"/>
              </w:rPr>
              <w:t>Demonstrates an understanding of personal finance, including credit history, balances checkbook, debt to income, interest, select benefits</w:t>
            </w:r>
          </w:p>
        </w:tc>
        <w:tc>
          <w:tcPr>
            <w:tcW w:w="1865" w:type="dxa"/>
            <w:tcBorders>
              <w:top w:val="single" w:sz="48" w:space="0" w:color="012169"/>
              <w:bottom w:val="single" w:sz="48" w:space="0" w:color="012169"/>
            </w:tcBorders>
          </w:tcPr>
          <w:p w14:paraId="009E7F6B" w14:textId="2B95E10F" w:rsidR="008112A1" w:rsidRPr="00C704F8" w:rsidRDefault="008112A1" w:rsidP="009E2F0B">
            <w:pPr>
              <w:rPr>
                <w:rFonts w:ascii="Roboto" w:hAnsi="Roboto"/>
                <w:sz w:val="18"/>
                <w:szCs w:val="18"/>
              </w:rPr>
            </w:pPr>
            <w:r w:rsidRPr="00C704F8">
              <w:rPr>
                <w:rFonts w:ascii="Roboto" w:hAnsi="Roboto"/>
                <w:sz w:val="18"/>
                <w:szCs w:val="18"/>
              </w:rPr>
              <w:t>Monitors personal finance, e.g., paycheck, benefits, 401K</w:t>
            </w:r>
          </w:p>
        </w:tc>
        <w:tc>
          <w:tcPr>
            <w:tcW w:w="1849" w:type="dxa"/>
            <w:tcBorders>
              <w:top w:val="single" w:sz="48" w:space="0" w:color="012169"/>
              <w:bottom w:val="single" w:sz="48" w:space="0" w:color="012169"/>
            </w:tcBorders>
          </w:tcPr>
          <w:p w14:paraId="5B8ACD5D" w14:textId="2FE7C7E7" w:rsidR="008112A1" w:rsidRPr="00C704F8" w:rsidRDefault="008112A1" w:rsidP="009E2F0B">
            <w:pPr>
              <w:rPr>
                <w:rFonts w:ascii="Roboto" w:hAnsi="Roboto"/>
                <w:sz w:val="18"/>
                <w:szCs w:val="18"/>
              </w:rPr>
            </w:pPr>
            <w:r w:rsidRPr="00C704F8">
              <w:rPr>
                <w:rFonts w:ascii="Roboto" w:hAnsi="Roboto"/>
                <w:sz w:val="18"/>
                <w:szCs w:val="18"/>
              </w:rPr>
              <w:t>Manages personal finances so as not to affect employment responsibilities</w:t>
            </w:r>
          </w:p>
        </w:tc>
        <w:tc>
          <w:tcPr>
            <w:tcW w:w="2136" w:type="dxa"/>
            <w:tcBorders>
              <w:top w:val="single" w:sz="48" w:space="0" w:color="012169"/>
              <w:bottom w:val="single" w:sz="48" w:space="0" w:color="012169"/>
            </w:tcBorders>
          </w:tcPr>
          <w:p w14:paraId="76F54A0A" w14:textId="69ECBF62" w:rsidR="008112A1" w:rsidRPr="00C704F8" w:rsidRDefault="008112A1" w:rsidP="009E2F0B">
            <w:pPr>
              <w:rPr>
                <w:rFonts w:ascii="Roboto" w:hAnsi="Roboto"/>
                <w:sz w:val="18"/>
                <w:szCs w:val="18"/>
              </w:rPr>
            </w:pPr>
            <w:r w:rsidRPr="00C704F8">
              <w:rPr>
                <w:rFonts w:ascii="Roboto" w:hAnsi="Roboto"/>
                <w:sz w:val="18"/>
                <w:szCs w:val="18"/>
              </w:rPr>
              <w:t>Applies personal financial acumen to benefit the organization’s bottom line</w:t>
            </w:r>
          </w:p>
        </w:tc>
      </w:tr>
      <w:tr w:rsidR="008112A1" w14:paraId="7C9CCFEB" w14:textId="77777777" w:rsidTr="008112A1">
        <w:tc>
          <w:tcPr>
            <w:tcW w:w="523" w:type="dxa"/>
            <w:tcBorders>
              <w:top w:val="single" w:sz="48" w:space="0" w:color="012169"/>
              <w:bottom w:val="single" w:sz="48" w:space="0" w:color="012169"/>
              <w:right w:val="single" w:sz="4" w:space="0" w:color="B4C6E7" w:themeColor="accent1" w:themeTint="66"/>
            </w:tcBorders>
            <w:shd w:val="clear" w:color="auto" w:fill="B4C6E7" w:themeFill="accent1" w:themeFillTint="66"/>
          </w:tcPr>
          <w:p w14:paraId="4C9EBE04" w14:textId="19E681F9" w:rsidR="008112A1" w:rsidRDefault="008112A1" w:rsidP="009E2F0B">
            <w:pPr>
              <w:rPr>
                <w:rFonts w:ascii="Roboto" w:hAnsi="Roboto"/>
              </w:rPr>
            </w:pPr>
            <w:r>
              <w:rPr>
                <w:rFonts w:ascii="Roboto" w:hAnsi="Roboto"/>
              </w:rPr>
              <w:t>2.0</w:t>
            </w:r>
          </w:p>
        </w:tc>
        <w:tc>
          <w:tcPr>
            <w:tcW w:w="2659" w:type="dxa"/>
            <w:tcBorders>
              <w:top w:val="single" w:sz="48" w:space="0" w:color="012169"/>
              <w:left w:val="single" w:sz="4" w:space="0" w:color="B4C6E7" w:themeColor="accent1" w:themeTint="66"/>
              <w:bottom w:val="single" w:sz="48" w:space="0" w:color="012169"/>
            </w:tcBorders>
            <w:shd w:val="clear" w:color="auto" w:fill="B4C6E7" w:themeFill="accent1" w:themeFillTint="66"/>
          </w:tcPr>
          <w:p w14:paraId="32B77F37" w14:textId="38732A1F" w:rsidR="008112A1" w:rsidRDefault="008112A1" w:rsidP="009E2F0B">
            <w:pPr>
              <w:rPr>
                <w:rFonts w:ascii="Roboto" w:hAnsi="Roboto"/>
              </w:rPr>
            </w:pPr>
            <w:r>
              <w:rPr>
                <w:rFonts w:ascii="Roboto" w:hAnsi="Roboto"/>
              </w:rPr>
              <w:t>A</w:t>
            </w:r>
            <w:r w:rsidRPr="00C704F8">
              <w:rPr>
                <w:rFonts w:ascii="Roboto" w:hAnsi="Roboto"/>
              </w:rPr>
              <w:t>rticulates financial goals and strategies of the organization</w:t>
            </w:r>
          </w:p>
        </w:tc>
        <w:tc>
          <w:tcPr>
            <w:tcW w:w="523" w:type="dxa"/>
            <w:tcBorders>
              <w:top w:val="single" w:sz="48" w:space="0" w:color="012169"/>
              <w:bottom w:val="single" w:sz="48" w:space="0" w:color="012169"/>
              <w:right w:val="single" w:sz="4" w:space="0" w:color="D9E2F3" w:themeColor="accent1" w:themeTint="33"/>
            </w:tcBorders>
            <w:shd w:val="clear" w:color="auto" w:fill="D9E2F3" w:themeFill="accent1" w:themeFillTint="33"/>
          </w:tcPr>
          <w:p w14:paraId="32CAA6C0" w14:textId="12ED07C3" w:rsidR="008112A1" w:rsidRPr="00C704F8" w:rsidRDefault="008112A1" w:rsidP="009E2F0B">
            <w:pPr>
              <w:rPr>
                <w:rFonts w:ascii="Roboto" w:hAnsi="Roboto"/>
              </w:rPr>
            </w:pPr>
            <w:r>
              <w:rPr>
                <w:rFonts w:ascii="Roboto" w:hAnsi="Roboto"/>
              </w:rPr>
              <w:t>2.1</w:t>
            </w:r>
          </w:p>
        </w:tc>
        <w:tc>
          <w:tcPr>
            <w:tcW w:w="2966" w:type="dxa"/>
            <w:tcBorders>
              <w:top w:val="single" w:sz="48" w:space="0" w:color="012169"/>
              <w:left w:val="single" w:sz="4" w:space="0" w:color="D9E2F3" w:themeColor="accent1" w:themeTint="33"/>
              <w:bottom w:val="single" w:sz="48" w:space="0" w:color="012169"/>
            </w:tcBorders>
            <w:shd w:val="clear" w:color="auto" w:fill="D9E2F3" w:themeFill="accent1" w:themeFillTint="33"/>
          </w:tcPr>
          <w:p w14:paraId="44983C05" w14:textId="605B8A04" w:rsidR="008112A1" w:rsidRPr="00C704F8" w:rsidRDefault="008112A1" w:rsidP="009E2F0B">
            <w:pPr>
              <w:rPr>
                <w:rFonts w:ascii="Roboto" w:hAnsi="Roboto"/>
              </w:rPr>
            </w:pPr>
            <w:r w:rsidRPr="00C704F8">
              <w:rPr>
                <w:rFonts w:ascii="Roboto" w:hAnsi="Roboto"/>
              </w:rPr>
              <w:t>Communicates organizational financial goals</w:t>
            </w:r>
          </w:p>
        </w:tc>
        <w:tc>
          <w:tcPr>
            <w:tcW w:w="1869" w:type="dxa"/>
            <w:tcBorders>
              <w:top w:val="single" w:sz="48" w:space="0" w:color="012169"/>
              <w:bottom w:val="single" w:sz="48" w:space="0" w:color="012169"/>
            </w:tcBorders>
          </w:tcPr>
          <w:p w14:paraId="1F4359E5" w14:textId="1BF5817B" w:rsidR="008112A1" w:rsidRPr="00C704F8" w:rsidRDefault="008112A1" w:rsidP="009E2F0B">
            <w:pPr>
              <w:rPr>
                <w:rFonts w:ascii="Roboto" w:hAnsi="Roboto"/>
                <w:sz w:val="18"/>
                <w:szCs w:val="18"/>
              </w:rPr>
            </w:pPr>
            <w:r w:rsidRPr="00C704F8">
              <w:rPr>
                <w:rFonts w:ascii="Roboto" w:hAnsi="Roboto"/>
                <w:sz w:val="18"/>
                <w:szCs w:val="18"/>
              </w:rPr>
              <w:t>Researches organization’s products, services, locations, events, markets</w:t>
            </w:r>
          </w:p>
        </w:tc>
        <w:tc>
          <w:tcPr>
            <w:tcW w:w="1865" w:type="dxa"/>
            <w:tcBorders>
              <w:top w:val="single" w:sz="48" w:space="0" w:color="012169"/>
              <w:bottom w:val="single" w:sz="48" w:space="0" w:color="012169"/>
            </w:tcBorders>
          </w:tcPr>
          <w:p w14:paraId="75DC6401" w14:textId="69708043" w:rsidR="008112A1" w:rsidRPr="00C704F8" w:rsidRDefault="008112A1" w:rsidP="009E2F0B">
            <w:pPr>
              <w:rPr>
                <w:rFonts w:ascii="Roboto" w:hAnsi="Roboto"/>
                <w:sz w:val="18"/>
                <w:szCs w:val="18"/>
              </w:rPr>
            </w:pPr>
            <w:r w:rsidRPr="00124C0E">
              <w:rPr>
                <w:rFonts w:ascii="Roboto" w:hAnsi="Roboto"/>
                <w:sz w:val="18"/>
                <w:szCs w:val="18"/>
              </w:rPr>
              <w:t>Reviews financial data for the organization, e.g., balance sheets, direct vs. indirect costs</w:t>
            </w:r>
          </w:p>
        </w:tc>
        <w:tc>
          <w:tcPr>
            <w:tcW w:w="1849" w:type="dxa"/>
            <w:tcBorders>
              <w:top w:val="single" w:sz="48" w:space="0" w:color="012169"/>
              <w:bottom w:val="single" w:sz="48" w:space="0" w:color="012169"/>
            </w:tcBorders>
          </w:tcPr>
          <w:p w14:paraId="22F574F3" w14:textId="02E0141E" w:rsidR="008112A1" w:rsidRPr="00C704F8" w:rsidRDefault="008112A1" w:rsidP="009E2F0B">
            <w:pPr>
              <w:rPr>
                <w:rFonts w:ascii="Roboto" w:hAnsi="Roboto"/>
                <w:sz w:val="18"/>
                <w:szCs w:val="18"/>
              </w:rPr>
            </w:pPr>
            <w:r w:rsidRPr="00124C0E">
              <w:rPr>
                <w:rFonts w:ascii="Roboto" w:hAnsi="Roboto"/>
                <w:sz w:val="18"/>
                <w:szCs w:val="18"/>
              </w:rPr>
              <w:t>Conveys understanding of core business: primary products and services that generate revenue for the organization</w:t>
            </w:r>
          </w:p>
        </w:tc>
        <w:tc>
          <w:tcPr>
            <w:tcW w:w="2136" w:type="dxa"/>
            <w:tcBorders>
              <w:top w:val="single" w:sz="48" w:space="0" w:color="012169"/>
              <w:bottom w:val="single" w:sz="48" w:space="0" w:color="012169"/>
            </w:tcBorders>
          </w:tcPr>
          <w:p w14:paraId="3D94480C" w14:textId="3A7703F8" w:rsidR="008112A1" w:rsidRPr="00C704F8" w:rsidRDefault="008112A1" w:rsidP="009E2F0B">
            <w:pPr>
              <w:rPr>
                <w:rFonts w:ascii="Roboto" w:hAnsi="Roboto"/>
                <w:sz w:val="18"/>
                <w:szCs w:val="18"/>
              </w:rPr>
            </w:pPr>
            <w:r w:rsidRPr="00124C0E">
              <w:rPr>
                <w:rFonts w:ascii="Roboto" w:hAnsi="Roboto"/>
                <w:sz w:val="18"/>
                <w:szCs w:val="18"/>
              </w:rPr>
              <w:t>Interprets financial data for the organization</w:t>
            </w:r>
          </w:p>
        </w:tc>
      </w:tr>
      <w:tr w:rsidR="008112A1" w14:paraId="22532A66" w14:textId="77777777" w:rsidTr="008112A1">
        <w:tc>
          <w:tcPr>
            <w:tcW w:w="523" w:type="dxa"/>
            <w:vMerge w:val="restart"/>
            <w:tcBorders>
              <w:top w:val="single" w:sz="48" w:space="0" w:color="012169"/>
              <w:right w:val="single" w:sz="4" w:space="0" w:color="B4C6E7"/>
            </w:tcBorders>
            <w:shd w:val="clear" w:color="auto" w:fill="B4C6E7" w:themeFill="accent1" w:themeFillTint="66"/>
          </w:tcPr>
          <w:p w14:paraId="0B1B623E" w14:textId="578CD099" w:rsidR="008112A1" w:rsidRDefault="008112A1" w:rsidP="009E2F0B">
            <w:pPr>
              <w:rPr>
                <w:rFonts w:ascii="Roboto" w:hAnsi="Roboto"/>
              </w:rPr>
            </w:pPr>
            <w:r>
              <w:rPr>
                <w:rFonts w:ascii="Roboto" w:hAnsi="Roboto"/>
              </w:rPr>
              <w:t>3.0</w:t>
            </w:r>
          </w:p>
        </w:tc>
        <w:tc>
          <w:tcPr>
            <w:tcW w:w="2659" w:type="dxa"/>
            <w:vMerge w:val="restart"/>
            <w:tcBorders>
              <w:top w:val="single" w:sz="48" w:space="0" w:color="012169"/>
              <w:left w:val="single" w:sz="4" w:space="0" w:color="B4C6E7"/>
            </w:tcBorders>
            <w:shd w:val="clear" w:color="auto" w:fill="B4C6E7" w:themeFill="accent1" w:themeFillTint="66"/>
          </w:tcPr>
          <w:p w14:paraId="07E4C8C7" w14:textId="539CFC00" w:rsidR="008112A1" w:rsidRDefault="008112A1" w:rsidP="009E2F0B">
            <w:pPr>
              <w:rPr>
                <w:rFonts w:ascii="Roboto" w:hAnsi="Roboto"/>
              </w:rPr>
            </w:pPr>
            <w:r w:rsidRPr="00124C0E">
              <w:rPr>
                <w:rFonts w:ascii="Roboto" w:hAnsi="Roboto"/>
              </w:rPr>
              <w:t>Contributes to organizational profitability through knowledge of finances</w:t>
            </w:r>
          </w:p>
        </w:tc>
        <w:tc>
          <w:tcPr>
            <w:tcW w:w="523" w:type="dxa"/>
            <w:tcBorders>
              <w:top w:val="single" w:sz="48" w:space="0" w:color="012169"/>
              <w:right w:val="single" w:sz="4" w:space="0" w:color="D9E2F3" w:themeColor="accent1" w:themeTint="33"/>
            </w:tcBorders>
            <w:shd w:val="clear" w:color="auto" w:fill="D9E2F3" w:themeFill="accent1" w:themeFillTint="33"/>
          </w:tcPr>
          <w:p w14:paraId="7F278448" w14:textId="6B5DB841" w:rsidR="008112A1" w:rsidRPr="00124C0E" w:rsidRDefault="008112A1" w:rsidP="009E2F0B">
            <w:pPr>
              <w:rPr>
                <w:rFonts w:ascii="Roboto" w:hAnsi="Roboto"/>
              </w:rPr>
            </w:pPr>
            <w:r>
              <w:rPr>
                <w:rFonts w:ascii="Roboto" w:hAnsi="Roboto"/>
              </w:rPr>
              <w:t>3.1</w:t>
            </w:r>
          </w:p>
        </w:tc>
        <w:tc>
          <w:tcPr>
            <w:tcW w:w="2966" w:type="dxa"/>
            <w:tcBorders>
              <w:top w:val="single" w:sz="48" w:space="0" w:color="012169"/>
              <w:left w:val="single" w:sz="4" w:space="0" w:color="D9E2F3" w:themeColor="accent1" w:themeTint="33"/>
            </w:tcBorders>
            <w:shd w:val="clear" w:color="auto" w:fill="D9E2F3" w:themeFill="accent1" w:themeFillTint="33"/>
          </w:tcPr>
          <w:p w14:paraId="6EF73855" w14:textId="236BF1C9" w:rsidR="008112A1" w:rsidRPr="00C704F8" w:rsidRDefault="008112A1" w:rsidP="009E2F0B">
            <w:pPr>
              <w:rPr>
                <w:rFonts w:ascii="Roboto" w:hAnsi="Roboto"/>
              </w:rPr>
            </w:pPr>
            <w:r w:rsidRPr="00124C0E">
              <w:rPr>
                <w:rFonts w:ascii="Roboto" w:hAnsi="Roboto"/>
              </w:rPr>
              <w:t>Acts prudently with organizational resources</w:t>
            </w:r>
          </w:p>
        </w:tc>
        <w:tc>
          <w:tcPr>
            <w:tcW w:w="1869" w:type="dxa"/>
            <w:tcBorders>
              <w:top w:val="single" w:sz="48" w:space="0" w:color="012169"/>
            </w:tcBorders>
          </w:tcPr>
          <w:p w14:paraId="4F1C9C32" w14:textId="77777777" w:rsidR="008112A1" w:rsidRPr="00124C0E" w:rsidRDefault="008112A1" w:rsidP="00124C0E">
            <w:pPr>
              <w:rPr>
                <w:rFonts w:ascii="Roboto" w:hAnsi="Roboto"/>
                <w:sz w:val="18"/>
                <w:szCs w:val="18"/>
              </w:rPr>
            </w:pPr>
            <w:r w:rsidRPr="00124C0E">
              <w:rPr>
                <w:rFonts w:ascii="Roboto" w:hAnsi="Roboto"/>
                <w:sz w:val="18"/>
                <w:szCs w:val="18"/>
              </w:rPr>
              <w:t>Processes financial transactions accurately according to job responsibilities, e.g., customer cash, check, debit, credit, invoices, purchase orders,</w:t>
            </w:r>
          </w:p>
          <w:p w14:paraId="1D38FE01" w14:textId="19E68C39" w:rsidR="008112A1" w:rsidRPr="00C704F8" w:rsidRDefault="008112A1" w:rsidP="00124C0E">
            <w:pPr>
              <w:rPr>
                <w:rFonts w:ascii="Roboto" w:hAnsi="Roboto"/>
                <w:sz w:val="18"/>
                <w:szCs w:val="18"/>
              </w:rPr>
            </w:pPr>
            <w:r w:rsidRPr="00124C0E">
              <w:rPr>
                <w:rFonts w:ascii="Roboto" w:hAnsi="Roboto"/>
                <w:sz w:val="18"/>
                <w:szCs w:val="18"/>
              </w:rPr>
              <w:t>manages petty cash</w:t>
            </w:r>
          </w:p>
        </w:tc>
        <w:tc>
          <w:tcPr>
            <w:tcW w:w="1865" w:type="dxa"/>
            <w:tcBorders>
              <w:top w:val="single" w:sz="48" w:space="0" w:color="012169"/>
            </w:tcBorders>
          </w:tcPr>
          <w:p w14:paraId="2E754036" w14:textId="03F73D8B" w:rsidR="008112A1" w:rsidRPr="00124C0E" w:rsidRDefault="008112A1" w:rsidP="009E2F0B">
            <w:pPr>
              <w:rPr>
                <w:rFonts w:ascii="Roboto" w:hAnsi="Roboto"/>
                <w:sz w:val="18"/>
                <w:szCs w:val="18"/>
              </w:rPr>
            </w:pPr>
            <w:r w:rsidRPr="00124C0E">
              <w:rPr>
                <w:rFonts w:ascii="Roboto" w:hAnsi="Roboto"/>
                <w:sz w:val="18"/>
                <w:szCs w:val="18"/>
              </w:rPr>
              <w:t>Demonstrates an understanding of the relationship between the cost of resources and the viability of the organization, e.g., considers products, people, processes, time; stays within budget parameters</w:t>
            </w:r>
          </w:p>
        </w:tc>
        <w:tc>
          <w:tcPr>
            <w:tcW w:w="1849" w:type="dxa"/>
            <w:tcBorders>
              <w:top w:val="single" w:sz="48" w:space="0" w:color="012169"/>
            </w:tcBorders>
          </w:tcPr>
          <w:p w14:paraId="632D14E8" w14:textId="3E90EC7B" w:rsidR="008112A1" w:rsidRPr="00124C0E" w:rsidRDefault="008112A1" w:rsidP="009E2F0B">
            <w:pPr>
              <w:rPr>
                <w:rFonts w:ascii="Roboto" w:hAnsi="Roboto"/>
                <w:sz w:val="18"/>
                <w:szCs w:val="18"/>
              </w:rPr>
            </w:pPr>
            <w:r w:rsidRPr="00124C0E">
              <w:rPr>
                <w:rFonts w:ascii="Roboto" w:hAnsi="Roboto"/>
                <w:sz w:val="18"/>
                <w:szCs w:val="18"/>
              </w:rPr>
              <w:t>Acts as a responsible steward of organizational resources, e.g., collaborates to avoid duplication of effort; uses time judiciously</w:t>
            </w:r>
          </w:p>
        </w:tc>
        <w:tc>
          <w:tcPr>
            <w:tcW w:w="2136" w:type="dxa"/>
            <w:tcBorders>
              <w:top w:val="single" w:sz="48" w:space="0" w:color="012169"/>
            </w:tcBorders>
          </w:tcPr>
          <w:p w14:paraId="5387F873" w14:textId="33BC7246" w:rsidR="008112A1" w:rsidRPr="00124C0E" w:rsidRDefault="008112A1" w:rsidP="009E2F0B">
            <w:pPr>
              <w:rPr>
                <w:rFonts w:ascii="Roboto" w:hAnsi="Roboto"/>
                <w:sz w:val="18"/>
                <w:szCs w:val="18"/>
              </w:rPr>
            </w:pPr>
            <w:r w:rsidRPr="00124C0E">
              <w:rPr>
                <w:rFonts w:ascii="Roboto" w:hAnsi="Roboto"/>
                <w:sz w:val="18"/>
                <w:szCs w:val="18"/>
              </w:rPr>
              <w:t>Models prudent practice for maximizing organizational resources, e.g., calculates costs of time and materials to produce products and services</w:t>
            </w:r>
          </w:p>
        </w:tc>
      </w:tr>
      <w:tr w:rsidR="008112A1" w14:paraId="1F073D9F" w14:textId="77777777" w:rsidTr="008112A1">
        <w:tc>
          <w:tcPr>
            <w:tcW w:w="523" w:type="dxa"/>
            <w:vMerge/>
            <w:tcBorders>
              <w:right w:val="single" w:sz="4" w:space="0" w:color="B4C6E7"/>
            </w:tcBorders>
            <w:shd w:val="clear" w:color="auto" w:fill="B4C6E7" w:themeFill="accent1" w:themeFillTint="66"/>
          </w:tcPr>
          <w:p w14:paraId="413F5034" w14:textId="77777777" w:rsidR="008112A1" w:rsidRDefault="008112A1" w:rsidP="009E2F0B">
            <w:pPr>
              <w:rPr>
                <w:rFonts w:ascii="Roboto" w:hAnsi="Roboto"/>
              </w:rPr>
            </w:pPr>
          </w:p>
        </w:tc>
        <w:tc>
          <w:tcPr>
            <w:tcW w:w="2659" w:type="dxa"/>
            <w:vMerge/>
            <w:tcBorders>
              <w:left w:val="single" w:sz="4" w:space="0" w:color="B4C6E7"/>
            </w:tcBorders>
            <w:shd w:val="clear" w:color="auto" w:fill="B4C6E7" w:themeFill="accent1" w:themeFillTint="66"/>
          </w:tcPr>
          <w:p w14:paraId="7A9C13FE" w14:textId="34948857" w:rsidR="008112A1" w:rsidRDefault="008112A1" w:rsidP="009E2F0B">
            <w:pPr>
              <w:rPr>
                <w:rFonts w:ascii="Roboto" w:hAnsi="Roboto"/>
              </w:rPr>
            </w:pPr>
          </w:p>
        </w:tc>
        <w:tc>
          <w:tcPr>
            <w:tcW w:w="523" w:type="dxa"/>
            <w:tcBorders>
              <w:right w:val="single" w:sz="4" w:space="0" w:color="D9E2F3" w:themeColor="accent1" w:themeTint="33"/>
            </w:tcBorders>
            <w:shd w:val="clear" w:color="auto" w:fill="D9E2F3" w:themeFill="accent1" w:themeFillTint="33"/>
          </w:tcPr>
          <w:p w14:paraId="790D62FA" w14:textId="3AFDA7AE" w:rsidR="008112A1" w:rsidRPr="00124C0E" w:rsidRDefault="008112A1" w:rsidP="009E2F0B">
            <w:pPr>
              <w:rPr>
                <w:rFonts w:ascii="Roboto" w:hAnsi="Roboto"/>
              </w:rPr>
            </w:pPr>
            <w:r>
              <w:rPr>
                <w:rFonts w:ascii="Roboto" w:hAnsi="Roboto"/>
              </w:rPr>
              <w:t>3.2</w:t>
            </w:r>
          </w:p>
        </w:tc>
        <w:tc>
          <w:tcPr>
            <w:tcW w:w="2966" w:type="dxa"/>
            <w:tcBorders>
              <w:left w:val="single" w:sz="4" w:space="0" w:color="D9E2F3" w:themeColor="accent1" w:themeTint="33"/>
            </w:tcBorders>
            <w:shd w:val="clear" w:color="auto" w:fill="D9E2F3" w:themeFill="accent1" w:themeFillTint="33"/>
          </w:tcPr>
          <w:p w14:paraId="50B7EFFB" w14:textId="2A0ABD50" w:rsidR="008112A1" w:rsidRPr="00124C0E" w:rsidRDefault="008112A1" w:rsidP="009E2F0B">
            <w:pPr>
              <w:rPr>
                <w:rFonts w:ascii="Roboto" w:hAnsi="Roboto"/>
              </w:rPr>
            </w:pPr>
            <w:r w:rsidRPr="00124C0E">
              <w:rPr>
                <w:rFonts w:ascii="Roboto" w:hAnsi="Roboto"/>
              </w:rPr>
              <w:t>Maintains current knowledge of salary and benefits</w:t>
            </w:r>
          </w:p>
        </w:tc>
        <w:tc>
          <w:tcPr>
            <w:tcW w:w="1869" w:type="dxa"/>
          </w:tcPr>
          <w:p w14:paraId="3B7E6200" w14:textId="4E537265" w:rsidR="008112A1" w:rsidRPr="00124C0E" w:rsidRDefault="008112A1" w:rsidP="00124C0E">
            <w:pPr>
              <w:rPr>
                <w:rFonts w:ascii="Roboto" w:hAnsi="Roboto"/>
                <w:sz w:val="18"/>
                <w:szCs w:val="18"/>
              </w:rPr>
            </w:pPr>
            <w:r w:rsidRPr="00124C0E">
              <w:rPr>
                <w:rFonts w:ascii="Roboto" w:hAnsi="Roboto"/>
                <w:sz w:val="18"/>
                <w:szCs w:val="18"/>
              </w:rPr>
              <w:t xml:space="preserve">Recognizes relationship between employee and employer </w:t>
            </w:r>
            <w:r w:rsidRPr="00124C0E">
              <w:rPr>
                <w:rFonts w:ascii="Roboto" w:hAnsi="Roboto"/>
                <w:sz w:val="18"/>
                <w:szCs w:val="18"/>
              </w:rPr>
              <w:lastRenderedPageBreak/>
              <w:t>obligations related to benefits</w:t>
            </w:r>
          </w:p>
        </w:tc>
        <w:tc>
          <w:tcPr>
            <w:tcW w:w="1865" w:type="dxa"/>
          </w:tcPr>
          <w:p w14:paraId="7A827077" w14:textId="2DC8AFA4" w:rsidR="008112A1" w:rsidRPr="00124C0E" w:rsidRDefault="008112A1" w:rsidP="009E2F0B">
            <w:pPr>
              <w:rPr>
                <w:rFonts w:ascii="Roboto" w:hAnsi="Roboto"/>
                <w:sz w:val="18"/>
                <w:szCs w:val="18"/>
              </w:rPr>
            </w:pPr>
            <w:r w:rsidRPr="00124C0E">
              <w:rPr>
                <w:rFonts w:ascii="Roboto" w:hAnsi="Roboto"/>
                <w:sz w:val="18"/>
                <w:szCs w:val="18"/>
              </w:rPr>
              <w:lastRenderedPageBreak/>
              <w:t xml:space="preserve">Demonstrates an understanding total cost of compensation package in salary </w:t>
            </w:r>
            <w:r w:rsidRPr="00124C0E">
              <w:rPr>
                <w:rFonts w:ascii="Roboto" w:hAnsi="Roboto"/>
                <w:sz w:val="18"/>
                <w:szCs w:val="18"/>
              </w:rPr>
              <w:lastRenderedPageBreak/>
              <w:t>and benefits, including healthcare, taxes, workers compensation, retirement, wellness programs</w:t>
            </w:r>
          </w:p>
        </w:tc>
        <w:tc>
          <w:tcPr>
            <w:tcW w:w="1849" w:type="dxa"/>
          </w:tcPr>
          <w:p w14:paraId="79217698" w14:textId="7338C2C7" w:rsidR="008112A1" w:rsidRPr="00124C0E" w:rsidRDefault="008112A1" w:rsidP="009E2F0B">
            <w:pPr>
              <w:rPr>
                <w:rFonts w:ascii="Roboto" w:hAnsi="Roboto"/>
                <w:sz w:val="18"/>
                <w:szCs w:val="18"/>
              </w:rPr>
            </w:pPr>
            <w:r w:rsidRPr="00124C0E">
              <w:rPr>
                <w:rFonts w:ascii="Roboto" w:hAnsi="Roboto"/>
                <w:sz w:val="18"/>
                <w:szCs w:val="18"/>
              </w:rPr>
              <w:lastRenderedPageBreak/>
              <w:t>Keeps current with employment costs and their impact on organizational resources</w:t>
            </w:r>
          </w:p>
        </w:tc>
        <w:tc>
          <w:tcPr>
            <w:tcW w:w="2136" w:type="dxa"/>
          </w:tcPr>
          <w:p w14:paraId="13CF9EAE" w14:textId="2264B89A" w:rsidR="008112A1" w:rsidRPr="00124C0E" w:rsidRDefault="008112A1" w:rsidP="009E2F0B">
            <w:pPr>
              <w:rPr>
                <w:rFonts w:ascii="Roboto" w:hAnsi="Roboto"/>
                <w:sz w:val="18"/>
                <w:szCs w:val="18"/>
              </w:rPr>
            </w:pPr>
            <w:r w:rsidRPr="00124C0E">
              <w:rPr>
                <w:rFonts w:ascii="Roboto" w:hAnsi="Roboto"/>
                <w:sz w:val="18"/>
                <w:szCs w:val="18"/>
              </w:rPr>
              <w:t>Assesses the effect of the total compensation package on organizational resources</w:t>
            </w:r>
          </w:p>
        </w:tc>
      </w:tr>
      <w:tr w:rsidR="008112A1" w14:paraId="15737BE6" w14:textId="77777777" w:rsidTr="008112A1">
        <w:tc>
          <w:tcPr>
            <w:tcW w:w="523" w:type="dxa"/>
            <w:vMerge/>
            <w:tcBorders>
              <w:right w:val="single" w:sz="4" w:space="0" w:color="B4C6E7"/>
            </w:tcBorders>
            <w:shd w:val="clear" w:color="auto" w:fill="B4C6E7" w:themeFill="accent1" w:themeFillTint="66"/>
          </w:tcPr>
          <w:p w14:paraId="29BF3767" w14:textId="77777777" w:rsidR="008112A1" w:rsidRDefault="008112A1" w:rsidP="009E2F0B">
            <w:pPr>
              <w:rPr>
                <w:rFonts w:ascii="Roboto" w:hAnsi="Roboto"/>
              </w:rPr>
            </w:pPr>
          </w:p>
        </w:tc>
        <w:tc>
          <w:tcPr>
            <w:tcW w:w="2659" w:type="dxa"/>
            <w:vMerge/>
            <w:tcBorders>
              <w:left w:val="single" w:sz="4" w:space="0" w:color="B4C6E7"/>
            </w:tcBorders>
            <w:shd w:val="clear" w:color="auto" w:fill="B4C6E7" w:themeFill="accent1" w:themeFillTint="66"/>
          </w:tcPr>
          <w:p w14:paraId="53334757" w14:textId="34F4ADE0" w:rsidR="008112A1" w:rsidRDefault="008112A1" w:rsidP="009E2F0B">
            <w:pPr>
              <w:rPr>
                <w:rFonts w:ascii="Roboto" w:hAnsi="Roboto"/>
              </w:rPr>
            </w:pPr>
          </w:p>
        </w:tc>
        <w:tc>
          <w:tcPr>
            <w:tcW w:w="523" w:type="dxa"/>
            <w:tcBorders>
              <w:right w:val="single" w:sz="4" w:space="0" w:color="D9E2F3" w:themeColor="accent1" w:themeTint="33"/>
            </w:tcBorders>
            <w:shd w:val="clear" w:color="auto" w:fill="D9E2F3" w:themeFill="accent1" w:themeFillTint="33"/>
          </w:tcPr>
          <w:p w14:paraId="0308DA74" w14:textId="6CA0BB45" w:rsidR="008112A1" w:rsidRPr="00124C0E" w:rsidRDefault="008112A1" w:rsidP="009E2F0B">
            <w:pPr>
              <w:rPr>
                <w:rFonts w:ascii="Roboto" w:hAnsi="Roboto"/>
              </w:rPr>
            </w:pPr>
            <w:r>
              <w:rPr>
                <w:rFonts w:ascii="Roboto" w:hAnsi="Roboto"/>
              </w:rPr>
              <w:t>3.3</w:t>
            </w:r>
          </w:p>
        </w:tc>
        <w:tc>
          <w:tcPr>
            <w:tcW w:w="2966" w:type="dxa"/>
            <w:tcBorders>
              <w:left w:val="single" w:sz="4" w:space="0" w:color="D9E2F3" w:themeColor="accent1" w:themeTint="33"/>
            </w:tcBorders>
            <w:shd w:val="clear" w:color="auto" w:fill="D9E2F3" w:themeFill="accent1" w:themeFillTint="33"/>
          </w:tcPr>
          <w:p w14:paraId="7144C405" w14:textId="119B0483" w:rsidR="008112A1" w:rsidRPr="00124C0E" w:rsidRDefault="008112A1" w:rsidP="009E2F0B">
            <w:pPr>
              <w:rPr>
                <w:rFonts w:ascii="Roboto" w:hAnsi="Roboto"/>
              </w:rPr>
            </w:pPr>
            <w:r w:rsidRPr="00124C0E">
              <w:rPr>
                <w:rFonts w:ascii="Roboto" w:hAnsi="Roboto"/>
              </w:rPr>
              <w:t>Relates work performance to company profitability</w:t>
            </w:r>
          </w:p>
        </w:tc>
        <w:tc>
          <w:tcPr>
            <w:tcW w:w="1869" w:type="dxa"/>
          </w:tcPr>
          <w:p w14:paraId="7620F7D6" w14:textId="49A5C4D0" w:rsidR="008112A1" w:rsidRPr="00124C0E" w:rsidRDefault="008112A1" w:rsidP="00124C0E">
            <w:pPr>
              <w:rPr>
                <w:rFonts w:ascii="Roboto" w:hAnsi="Roboto"/>
                <w:sz w:val="18"/>
                <w:szCs w:val="18"/>
              </w:rPr>
            </w:pPr>
            <w:r w:rsidRPr="00124C0E">
              <w:rPr>
                <w:rFonts w:ascii="Roboto" w:hAnsi="Roboto"/>
                <w:sz w:val="18"/>
                <w:szCs w:val="18"/>
              </w:rPr>
              <w:t>Describes the relationship between an organization’s profitability and the job</w:t>
            </w:r>
          </w:p>
        </w:tc>
        <w:tc>
          <w:tcPr>
            <w:tcW w:w="1865" w:type="dxa"/>
          </w:tcPr>
          <w:p w14:paraId="69D0CF0A" w14:textId="668E0238" w:rsidR="008112A1" w:rsidRPr="00124C0E" w:rsidRDefault="008112A1" w:rsidP="009E2F0B">
            <w:pPr>
              <w:rPr>
                <w:rFonts w:ascii="Roboto" w:hAnsi="Roboto"/>
                <w:sz w:val="18"/>
                <w:szCs w:val="18"/>
              </w:rPr>
            </w:pPr>
            <w:r w:rsidRPr="00124C0E">
              <w:rPr>
                <w:rFonts w:ascii="Roboto" w:hAnsi="Roboto"/>
                <w:sz w:val="18"/>
                <w:szCs w:val="18"/>
              </w:rPr>
              <w:t>Demonstrates the relationship between company profitability and one's work performance, e.g., meets productivity goals, uses time effectively, acts with honesty, addresses financial implications related to safety</w:t>
            </w:r>
          </w:p>
        </w:tc>
        <w:tc>
          <w:tcPr>
            <w:tcW w:w="1849" w:type="dxa"/>
          </w:tcPr>
          <w:p w14:paraId="0AA3AE0B" w14:textId="398C25F3" w:rsidR="008112A1" w:rsidRPr="00124C0E" w:rsidRDefault="008112A1" w:rsidP="009E2F0B">
            <w:pPr>
              <w:rPr>
                <w:rFonts w:ascii="Roboto" w:hAnsi="Roboto"/>
                <w:sz w:val="18"/>
                <w:szCs w:val="18"/>
              </w:rPr>
            </w:pPr>
            <w:r w:rsidRPr="00124C0E">
              <w:rPr>
                <w:rFonts w:ascii="Roboto" w:hAnsi="Roboto"/>
                <w:sz w:val="18"/>
                <w:szCs w:val="18"/>
              </w:rPr>
              <w:t>Applies ethical considerations to financial decision-making</w:t>
            </w:r>
          </w:p>
        </w:tc>
        <w:tc>
          <w:tcPr>
            <w:tcW w:w="2136" w:type="dxa"/>
          </w:tcPr>
          <w:p w14:paraId="445895B1" w14:textId="39FED94E" w:rsidR="008112A1" w:rsidRPr="00124C0E" w:rsidRDefault="008112A1" w:rsidP="009E2F0B">
            <w:pPr>
              <w:rPr>
                <w:rFonts w:ascii="Roboto" w:hAnsi="Roboto"/>
                <w:sz w:val="18"/>
                <w:szCs w:val="18"/>
              </w:rPr>
            </w:pPr>
            <w:r w:rsidRPr="00124C0E">
              <w:rPr>
                <w:rFonts w:ascii="Roboto" w:hAnsi="Roboto"/>
                <w:sz w:val="18"/>
                <w:szCs w:val="18"/>
              </w:rPr>
              <w:t>Participates in strategic/tactical financial planning for the ongoing growth/sustainability of the organization, e.g., planning meetings, development of new ideas, innovations</w:t>
            </w:r>
          </w:p>
        </w:tc>
      </w:tr>
    </w:tbl>
    <w:p w14:paraId="0FF2A441" w14:textId="6A9416EB" w:rsidR="00C704F8" w:rsidRDefault="00C704F8" w:rsidP="009E2F0B">
      <w:pPr>
        <w:rPr>
          <w:rFonts w:ascii="Roboto" w:hAnsi="Roboto"/>
        </w:rPr>
      </w:pPr>
    </w:p>
    <w:p w14:paraId="4E40363F" w14:textId="106DF8EA" w:rsidR="00C704F8" w:rsidRDefault="00C704F8" w:rsidP="009E2F0B">
      <w:pPr>
        <w:rPr>
          <w:rFonts w:ascii="Roboto" w:hAnsi="Roboto"/>
        </w:rPr>
      </w:pPr>
    </w:p>
    <w:p w14:paraId="65F2DD4E" w14:textId="77777777" w:rsidR="00C704F8" w:rsidRPr="001A2718" w:rsidRDefault="00C704F8" w:rsidP="009E2F0B">
      <w:pPr>
        <w:rPr>
          <w:rFonts w:ascii="Roboto" w:hAnsi="Roboto"/>
        </w:rPr>
      </w:pPr>
    </w:p>
    <w:p w14:paraId="7CC3A888" w14:textId="77777777" w:rsidR="00B82430" w:rsidRDefault="00B82430"/>
    <w:sectPr w:rsidR="00B82430" w:rsidSect="009E2F0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071F" w14:textId="77777777" w:rsidR="00A50481" w:rsidRDefault="00A50481" w:rsidP="00674B05">
      <w:pPr>
        <w:spacing w:after="0" w:line="240" w:lineRule="auto"/>
      </w:pPr>
      <w:r>
        <w:separator/>
      </w:r>
    </w:p>
  </w:endnote>
  <w:endnote w:type="continuationSeparator" w:id="0">
    <w:p w14:paraId="066F0C64" w14:textId="77777777" w:rsidR="00A50481" w:rsidRDefault="00A50481" w:rsidP="0067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F584" w14:textId="77777777" w:rsidR="00674B05" w:rsidRDefault="00674B05" w:rsidP="00674B05">
    <w:pPr>
      <w:pStyle w:val="Footer"/>
    </w:pPr>
    <w:r w:rsidRPr="000F6E55">
      <w:rPr>
        <w:rFonts w:ascii="Roboto" w:hAnsi="Roboto"/>
      </w:rPr>
      <w:t>Arizona Professional Skills</w:t>
    </w:r>
    <w:r w:rsidRPr="000F6E55">
      <w:rPr>
        <w:rFonts w:ascii="Roboto" w:hAnsi="Roboto"/>
      </w:rPr>
      <w:ptab w:relativeTo="margin" w:alignment="center" w:leader="none"/>
    </w:r>
    <w:r w:rsidRPr="000F6E55">
      <w:rPr>
        <w:rFonts w:ascii="Roboto" w:hAnsi="Roboto"/>
      </w:rPr>
      <w:ptab w:relativeTo="margin" w:alignment="right" w:leader="none"/>
    </w:r>
    <w:r w:rsidRPr="000F6E55">
      <w:rPr>
        <w:rFonts w:ascii="Roboto" w:hAnsi="Roboto"/>
      </w:rPr>
      <w:t>Approved by the Arizona Skill Standards Commission 12/2012</w:t>
    </w:r>
    <w:r>
      <w:rPr>
        <w:rFonts w:ascii="Roboto" w:hAnsi="Roboto"/>
      </w:rPr>
      <w:t xml:space="preserve"> </w:t>
    </w:r>
  </w:p>
  <w:p w14:paraId="2772A0F1" w14:textId="7A2137A8" w:rsidR="00674B05" w:rsidRDefault="00674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C372" w14:textId="77777777" w:rsidR="00A50481" w:rsidRDefault="00A50481" w:rsidP="00674B05">
      <w:pPr>
        <w:spacing w:after="0" w:line="240" w:lineRule="auto"/>
      </w:pPr>
      <w:r>
        <w:separator/>
      </w:r>
    </w:p>
  </w:footnote>
  <w:footnote w:type="continuationSeparator" w:id="0">
    <w:p w14:paraId="0D8F2C8D" w14:textId="77777777" w:rsidR="00A50481" w:rsidRDefault="00A50481" w:rsidP="00674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0B"/>
    <w:rsid w:val="00124C0E"/>
    <w:rsid w:val="001622BC"/>
    <w:rsid w:val="00511708"/>
    <w:rsid w:val="0066061C"/>
    <w:rsid w:val="00674B05"/>
    <w:rsid w:val="008112A1"/>
    <w:rsid w:val="009E2F0B"/>
    <w:rsid w:val="00A50481"/>
    <w:rsid w:val="00AE10C0"/>
    <w:rsid w:val="00B82430"/>
    <w:rsid w:val="00BE2DFE"/>
    <w:rsid w:val="00C57AA6"/>
    <w:rsid w:val="00C704F8"/>
    <w:rsid w:val="00DC0520"/>
    <w:rsid w:val="00E60631"/>
    <w:rsid w:val="00F1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E6"/>
  <w15:chartTrackingRefBased/>
  <w15:docId w15:val="{E381A232-EE51-4227-AA0F-7536A1F8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0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B05"/>
  </w:style>
  <w:style w:type="paragraph" w:styleId="Footer">
    <w:name w:val="footer"/>
    <w:basedOn w:val="Normal"/>
    <w:link w:val="FooterChar"/>
    <w:uiPriority w:val="99"/>
    <w:unhideWhenUsed/>
    <w:rsid w:val="0067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Hardy</dc:creator>
  <cp:keywords/>
  <dc:description/>
  <cp:lastModifiedBy>Shumate, Julie</cp:lastModifiedBy>
  <cp:revision>2</cp:revision>
  <dcterms:created xsi:type="dcterms:W3CDTF">2022-08-29T18:13:00Z</dcterms:created>
  <dcterms:modified xsi:type="dcterms:W3CDTF">2022-08-29T18:13:00Z</dcterms:modified>
</cp:coreProperties>
</file>