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7865" w14:textId="6C39F9BA" w:rsidR="00626593" w:rsidRDefault="00626593" w:rsidP="00626593">
      <w:pPr>
        <w:spacing w:after="0" w:line="240" w:lineRule="auto"/>
        <w:jc w:val="center"/>
        <w:rPr>
          <w:rFonts w:ascii="Roboto Condensed" w:hAnsi="Roboto Condensed"/>
          <w:sz w:val="24"/>
          <w:szCs w:val="24"/>
        </w:rPr>
      </w:pPr>
      <w:r>
        <w:rPr>
          <w:rFonts w:ascii="Roboto Condensed" w:hAnsi="Roboto Condensed"/>
          <w:noProof/>
          <w:sz w:val="24"/>
          <w:szCs w:val="24"/>
        </w:rPr>
        <w:drawing>
          <wp:inline distT="0" distB="0" distL="0" distR="0" wp14:anchorId="208E6C4B" wp14:editId="73ADC3B5">
            <wp:extent cx="814705" cy="814705"/>
            <wp:effectExtent l="0" t="0" r="4445" b="4445"/>
            <wp:docPr id="1" name="Picture 1" descr="A logo with a star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a fl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pic:spPr>
                </pic:pic>
              </a:graphicData>
            </a:graphic>
          </wp:inline>
        </w:drawing>
      </w:r>
    </w:p>
    <w:p w14:paraId="295692E2" w14:textId="77777777" w:rsidR="00626593" w:rsidRPr="00D44DD3" w:rsidRDefault="00626593" w:rsidP="00626593">
      <w:pPr>
        <w:spacing w:after="0" w:line="240" w:lineRule="auto"/>
        <w:jc w:val="center"/>
        <w:rPr>
          <w:rFonts w:ascii="Montserrat" w:hAnsi="Montserrat"/>
          <w:b/>
          <w:bCs/>
          <w:color w:val="000000"/>
          <w:sz w:val="6"/>
          <w:szCs w:val="6"/>
        </w:rPr>
      </w:pPr>
    </w:p>
    <w:p w14:paraId="794DB9EC" w14:textId="77777777" w:rsidR="00626593" w:rsidRPr="00D44DD3" w:rsidRDefault="00626593" w:rsidP="00626593">
      <w:pPr>
        <w:spacing w:after="0" w:line="240" w:lineRule="auto"/>
        <w:jc w:val="center"/>
        <w:rPr>
          <w:rFonts w:ascii="Montserrat" w:hAnsi="Montserrat"/>
          <w:b/>
          <w:bCs/>
          <w:color w:val="000000"/>
          <w:sz w:val="28"/>
          <w:szCs w:val="28"/>
        </w:rPr>
      </w:pPr>
      <w:r w:rsidRPr="00D44DD3">
        <w:rPr>
          <w:rFonts w:ascii="Montserrat" w:hAnsi="Montserrat"/>
          <w:b/>
          <w:bCs/>
          <w:color w:val="000000"/>
          <w:sz w:val="28"/>
          <w:szCs w:val="28"/>
        </w:rPr>
        <w:t xml:space="preserve">ARIZONA CAREER AND TECHNICAL EDUCATION </w:t>
      </w:r>
    </w:p>
    <w:p w14:paraId="35E27A10" w14:textId="77777777" w:rsidR="00626593" w:rsidRDefault="00626593" w:rsidP="00626593">
      <w:pPr>
        <w:spacing w:after="0" w:line="240" w:lineRule="auto"/>
        <w:jc w:val="center"/>
        <w:rPr>
          <w:rFonts w:ascii="Montserrat" w:hAnsi="Montserrat"/>
          <w:b/>
          <w:bCs/>
          <w:color w:val="000000"/>
          <w:sz w:val="28"/>
          <w:szCs w:val="28"/>
        </w:rPr>
      </w:pPr>
      <w:r w:rsidRPr="00D44DD3">
        <w:rPr>
          <w:rFonts w:ascii="Montserrat" w:hAnsi="Montserrat"/>
          <w:b/>
          <w:bCs/>
          <w:color w:val="000000"/>
          <w:sz w:val="28"/>
          <w:szCs w:val="28"/>
        </w:rPr>
        <w:t>QUALITY COMMISSION</w:t>
      </w:r>
    </w:p>
    <w:p w14:paraId="4C717DDF" w14:textId="77777777" w:rsidR="00626593" w:rsidRPr="00143F7D" w:rsidRDefault="00626593" w:rsidP="00626593">
      <w:pPr>
        <w:spacing w:after="0" w:line="240" w:lineRule="auto"/>
        <w:jc w:val="center"/>
        <w:rPr>
          <w:rFonts w:ascii="Montserrat" w:hAnsi="Montserrat"/>
          <w:b/>
          <w:bCs/>
          <w:color w:val="000000"/>
          <w:sz w:val="4"/>
          <w:szCs w:val="4"/>
        </w:rPr>
      </w:pPr>
    </w:p>
    <w:p w14:paraId="38F6A77C" w14:textId="77777777" w:rsidR="00626593" w:rsidRPr="00D22035" w:rsidRDefault="00626593" w:rsidP="00626593">
      <w:pPr>
        <w:spacing w:after="0" w:line="240" w:lineRule="auto"/>
        <w:jc w:val="center"/>
        <w:rPr>
          <w:rFonts w:ascii="Montserrat" w:hAnsi="Montserrat"/>
          <w:b/>
          <w:bCs/>
          <w:color w:val="000000"/>
          <w:u w:val="thick"/>
        </w:rPr>
      </w:pPr>
      <w:r w:rsidRPr="00D22035">
        <w:rPr>
          <w:rFonts w:ascii="Montserrat" w:hAnsi="Montserrat"/>
          <w:b/>
          <w:bCs/>
          <w:color w:val="000000"/>
          <w:u w:val="thick"/>
        </w:rPr>
        <w:t xml:space="preserve">ORGANIZATIONAL  AND OPERATIONAL GUIDELINES </w:t>
      </w:r>
    </w:p>
    <w:p w14:paraId="698400DC" w14:textId="77777777" w:rsidR="00626593" w:rsidRDefault="00626593" w:rsidP="00626593">
      <w:pPr>
        <w:spacing w:after="0" w:line="240" w:lineRule="auto"/>
        <w:jc w:val="center"/>
        <w:rPr>
          <w:rFonts w:ascii="Roboto Condensed" w:hAnsi="Roboto Condensed"/>
          <w:sz w:val="24"/>
          <w:szCs w:val="24"/>
        </w:rPr>
      </w:pPr>
    </w:p>
    <w:p w14:paraId="0821D656" w14:textId="77777777" w:rsidR="00626593" w:rsidRDefault="00626593" w:rsidP="00626593">
      <w:pPr>
        <w:spacing w:after="0" w:line="240" w:lineRule="auto"/>
        <w:rPr>
          <w:rFonts w:ascii="Arial" w:hAnsi="Arial" w:cs="Arial"/>
        </w:rPr>
      </w:pPr>
    </w:p>
    <w:p w14:paraId="31A46C9F" w14:textId="77777777" w:rsidR="002F3A6F" w:rsidRPr="00B212E3" w:rsidRDefault="002F3A6F" w:rsidP="00626593">
      <w:pPr>
        <w:spacing w:after="0" w:line="240" w:lineRule="auto"/>
        <w:rPr>
          <w:rFonts w:ascii="Arial" w:hAnsi="Arial" w:cs="Arial"/>
        </w:rPr>
      </w:pPr>
    </w:p>
    <w:p w14:paraId="15284FA0" w14:textId="260A70CC" w:rsidR="00626593" w:rsidRDefault="00626593" w:rsidP="00626593">
      <w:pPr>
        <w:spacing w:after="0" w:line="240" w:lineRule="auto"/>
        <w:rPr>
          <w:rFonts w:ascii="Montserrat SemiBold" w:hAnsi="Montserrat SemiBold" w:cs="Arial"/>
          <w:sz w:val="24"/>
          <w:szCs w:val="24"/>
        </w:rPr>
      </w:pPr>
      <w:r w:rsidRPr="00FC700B">
        <w:rPr>
          <w:rFonts w:ascii="Montserrat SemiBold" w:hAnsi="Montserrat SemiBold" w:cs="Arial"/>
          <w:sz w:val="24"/>
          <w:szCs w:val="24"/>
        </w:rPr>
        <w:t xml:space="preserve">Statement of Purpose </w:t>
      </w:r>
    </w:p>
    <w:p w14:paraId="4683714F" w14:textId="77777777" w:rsidR="00626593" w:rsidRPr="00C71B5B" w:rsidRDefault="00626593" w:rsidP="00626593">
      <w:pPr>
        <w:spacing w:after="0" w:line="240" w:lineRule="auto"/>
        <w:rPr>
          <w:rFonts w:ascii="Montserrat SemiBold" w:hAnsi="Montserrat SemiBold" w:cs="Arial"/>
          <w:sz w:val="12"/>
          <w:szCs w:val="12"/>
        </w:rPr>
      </w:pPr>
    </w:p>
    <w:p w14:paraId="22D725A7" w14:textId="2D042A2D" w:rsidR="00E10231" w:rsidRDefault="00626593" w:rsidP="00626593">
      <w:pPr>
        <w:rPr>
          <w:rFonts w:ascii="Arial" w:hAnsi="Arial" w:cs="Arial"/>
        </w:rPr>
      </w:pPr>
      <w:r w:rsidRPr="00B212E3">
        <w:rPr>
          <w:rFonts w:ascii="Arial" w:hAnsi="Arial" w:cs="Arial"/>
        </w:rPr>
        <w:t xml:space="preserve">The Arizona Career and Technical Education Quality Commission (ACTEQC), in collaboration with the Arizona Department of Education, is </w:t>
      </w:r>
      <w:r>
        <w:rPr>
          <w:rFonts w:ascii="Arial" w:hAnsi="Arial" w:cs="Arial"/>
        </w:rPr>
        <w:t>the</w:t>
      </w:r>
      <w:r w:rsidRPr="00B212E3">
        <w:rPr>
          <w:rFonts w:ascii="Arial" w:hAnsi="Arial" w:cs="Arial"/>
        </w:rPr>
        <w:t xml:space="preserve"> </w:t>
      </w:r>
      <w:r>
        <w:rPr>
          <w:rFonts w:ascii="Arial" w:hAnsi="Arial" w:cs="Arial"/>
        </w:rPr>
        <w:t xml:space="preserve">final </w:t>
      </w:r>
      <w:r w:rsidR="00E10231">
        <w:rPr>
          <w:rFonts w:ascii="Arial" w:hAnsi="Arial" w:cs="Arial"/>
        </w:rPr>
        <w:t xml:space="preserve">authority </w:t>
      </w:r>
      <w:r w:rsidR="00DA23A0">
        <w:rPr>
          <w:rFonts w:ascii="Arial" w:hAnsi="Arial" w:cs="Arial"/>
        </w:rPr>
        <w:t>on</w:t>
      </w:r>
      <w:r w:rsidR="00E61071">
        <w:rPr>
          <w:rFonts w:ascii="Arial" w:hAnsi="Arial" w:cs="Arial"/>
        </w:rPr>
        <w:t xml:space="preserve"> </w:t>
      </w:r>
      <w:r w:rsidR="00E10231">
        <w:rPr>
          <w:rFonts w:ascii="Arial" w:hAnsi="Arial" w:cs="Arial"/>
        </w:rPr>
        <w:t>the Technical Standards and the Technical Skills Assessment for CTE programs.</w:t>
      </w:r>
      <w:r w:rsidR="00E61071">
        <w:rPr>
          <w:rFonts w:ascii="Arial" w:hAnsi="Arial" w:cs="Arial"/>
        </w:rPr>
        <w:t xml:space="preserve"> </w:t>
      </w:r>
      <w:r w:rsidR="00E10231">
        <w:rPr>
          <w:rFonts w:ascii="Arial" w:hAnsi="Arial" w:cs="Arial"/>
        </w:rPr>
        <w:t xml:space="preserve">Members meet regularly to confirm and approve standards that identify the essential knowledge and skill students </w:t>
      </w:r>
      <w:r w:rsidR="003D4715">
        <w:rPr>
          <w:rFonts w:ascii="Arial" w:hAnsi="Arial" w:cs="Arial"/>
        </w:rPr>
        <w:t>need</w:t>
      </w:r>
      <w:r w:rsidR="00E10231">
        <w:rPr>
          <w:rFonts w:ascii="Arial" w:hAnsi="Arial" w:cs="Arial"/>
        </w:rPr>
        <w:t xml:space="preserve"> to successfully complete career and technical education program</w:t>
      </w:r>
      <w:r w:rsidR="006654A6">
        <w:rPr>
          <w:rFonts w:ascii="Arial" w:hAnsi="Arial" w:cs="Arial"/>
        </w:rPr>
        <w:t>s</w:t>
      </w:r>
      <w:r w:rsidR="00E10231">
        <w:rPr>
          <w:rFonts w:ascii="Arial" w:hAnsi="Arial" w:cs="Arial"/>
        </w:rPr>
        <w:t xml:space="preserve">. To ensure that students </w:t>
      </w:r>
      <w:r w:rsidR="00AC175B">
        <w:rPr>
          <w:rFonts w:ascii="Arial" w:hAnsi="Arial" w:cs="Arial"/>
        </w:rPr>
        <w:t>can demonstrate</w:t>
      </w:r>
      <w:r w:rsidR="00E10231">
        <w:rPr>
          <w:rFonts w:ascii="Arial" w:hAnsi="Arial" w:cs="Arial"/>
        </w:rPr>
        <w:t xml:space="preserve"> knowledge and skill attainment, the Commission also confirms and approves the technical skills assessments</w:t>
      </w:r>
      <w:r w:rsidR="005C37F6">
        <w:rPr>
          <w:rFonts w:ascii="Arial" w:hAnsi="Arial" w:cs="Arial"/>
        </w:rPr>
        <w:t xml:space="preserve"> </w:t>
      </w:r>
      <w:r w:rsidR="00CF7D6C">
        <w:rPr>
          <w:rFonts w:ascii="Arial" w:hAnsi="Arial" w:cs="Arial"/>
        </w:rPr>
        <w:t xml:space="preserve">is </w:t>
      </w:r>
      <w:r w:rsidR="00E10231">
        <w:rPr>
          <w:rFonts w:ascii="Arial" w:hAnsi="Arial" w:cs="Arial"/>
        </w:rPr>
        <w:t>based o</w:t>
      </w:r>
      <w:r w:rsidR="005C37F6">
        <w:rPr>
          <w:rFonts w:ascii="Arial" w:hAnsi="Arial" w:cs="Arial"/>
        </w:rPr>
        <w:t>n</w:t>
      </w:r>
      <w:r w:rsidR="00E10231">
        <w:rPr>
          <w:rFonts w:ascii="Arial" w:hAnsi="Arial" w:cs="Arial"/>
        </w:rPr>
        <w:t xml:space="preserve"> the content  of each program’s standards. Commissioners further serve as advocates for CTE and provide their expert advice and support in setting direction and providing input into strategic planning.</w:t>
      </w:r>
    </w:p>
    <w:p w14:paraId="4596B53B" w14:textId="745FBF97" w:rsidR="006A44FE" w:rsidRDefault="00F73EF3" w:rsidP="00842DBF">
      <w:pPr>
        <w:spacing w:after="0" w:line="240" w:lineRule="auto"/>
        <w:rPr>
          <w:rFonts w:ascii="Arial" w:hAnsi="Arial" w:cs="Arial"/>
        </w:rPr>
      </w:pPr>
      <w:r>
        <w:rPr>
          <w:rFonts w:ascii="Arial" w:hAnsi="Arial" w:cs="Arial"/>
        </w:rPr>
        <w:t>The pu</w:t>
      </w:r>
      <w:r w:rsidR="00387157">
        <w:rPr>
          <w:rFonts w:ascii="Arial" w:hAnsi="Arial" w:cs="Arial"/>
        </w:rPr>
        <w:t xml:space="preserve">rpose of the Arizona Career and Technical </w:t>
      </w:r>
      <w:r w:rsidR="00521FA0">
        <w:rPr>
          <w:rFonts w:ascii="Arial" w:hAnsi="Arial" w:cs="Arial"/>
        </w:rPr>
        <w:t xml:space="preserve">Education </w:t>
      </w:r>
      <w:r w:rsidR="00387157">
        <w:rPr>
          <w:rFonts w:ascii="Arial" w:hAnsi="Arial" w:cs="Arial"/>
        </w:rPr>
        <w:t xml:space="preserve">Quality Commission as required by Arizona </w:t>
      </w:r>
      <w:r w:rsidR="00842DBF">
        <w:rPr>
          <w:rFonts w:ascii="Arial" w:hAnsi="Arial" w:cs="Arial"/>
        </w:rPr>
        <w:t>State Statute, the ADE CTE Perkins Plan (federal funding), and the State CTE Strategic Plan, is to provide business, industry and CTE stakeholders an opportunity to:</w:t>
      </w:r>
    </w:p>
    <w:p w14:paraId="6CDA07AB" w14:textId="5817E5D9" w:rsidR="00842DBF" w:rsidRDefault="0092120F" w:rsidP="00842DBF">
      <w:pPr>
        <w:pStyle w:val="ListParagraph"/>
        <w:numPr>
          <w:ilvl w:val="0"/>
          <w:numId w:val="2"/>
        </w:numPr>
        <w:spacing w:after="0" w:line="240" w:lineRule="auto"/>
        <w:rPr>
          <w:rFonts w:ascii="Arial" w:hAnsi="Arial" w:cs="Arial"/>
        </w:rPr>
      </w:pPr>
      <w:r>
        <w:rPr>
          <w:rFonts w:ascii="Arial" w:hAnsi="Arial" w:cs="Arial"/>
        </w:rPr>
        <w:t>continue to engage Arizona business and industry employers and to work with existing community, state, and national organizations in support of high-quality, relevant CTE programs;</w:t>
      </w:r>
    </w:p>
    <w:p w14:paraId="74EF43C5" w14:textId="2665CAD6" w:rsidR="0092120F" w:rsidRDefault="0092120F" w:rsidP="00842DBF">
      <w:pPr>
        <w:pStyle w:val="ListParagraph"/>
        <w:numPr>
          <w:ilvl w:val="0"/>
          <w:numId w:val="2"/>
        </w:numPr>
        <w:spacing w:after="0" w:line="240" w:lineRule="auto"/>
        <w:rPr>
          <w:rFonts w:ascii="Arial" w:hAnsi="Arial" w:cs="Arial"/>
        </w:rPr>
      </w:pPr>
      <w:r>
        <w:rPr>
          <w:rFonts w:ascii="Arial" w:hAnsi="Arial" w:cs="Arial"/>
        </w:rPr>
        <w:t>confirm and approve CTE technical standards essential to students’ education and career success;</w:t>
      </w:r>
    </w:p>
    <w:p w14:paraId="27306121" w14:textId="20524BC0" w:rsidR="0092120F" w:rsidRDefault="0092120F" w:rsidP="00842DBF">
      <w:pPr>
        <w:pStyle w:val="ListParagraph"/>
        <w:numPr>
          <w:ilvl w:val="0"/>
          <w:numId w:val="2"/>
        </w:numPr>
        <w:spacing w:after="0" w:line="240" w:lineRule="auto"/>
        <w:rPr>
          <w:rFonts w:ascii="Arial" w:hAnsi="Arial" w:cs="Arial"/>
        </w:rPr>
      </w:pPr>
      <w:r>
        <w:rPr>
          <w:rFonts w:ascii="Arial" w:hAnsi="Arial" w:cs="Arial"/>
        </w:rPr>
        <w:t>confirm and approve students’ skill attainment through end-of-program assessments;</w:t>
      </w:r>
    </w:p>
    <w:p w14:paraId="3993C9AC" w14:textId="00653A21" w:rsidR="0092120F" w:rsidRDefault="0092120F" w:rsidP="00842DBF">
      <w:pPr>
        <w:pStyle w:val="ListParagraph"/>
        <w:numPr>
          <w:ilvl w:val="0"/>
          <w:numId w:val="2"/>
        </w:numPr>
        <w:spacing w:after="0" w:line="240" w:lineRule="auto"/>
        <w:rPr>
          <w:rFonts w:ascii="Arial" w:hAnsi="Arial" w:cs="Arial"/>
        </w:rPr>
      </w:pPr>
      <w:r>
        <w:rPr>
          <w:rFonts w:ascii="Arial" w:hAnsi="Arial" w:cs="Arial"/>
        </w:rPr>
        <w:t>confirm and approve industry credentials; and</w:t>
      </w:r>
    </w:p>
    <w:p w14:paraId="111849A3" w14:textId="77777777" w:rsidR="00AC175B" w:rsidRDefault="0092120F" w:rsidP="00AC175B">
      <w:pPr>
        <w:pStyle w:val="ListParagraph"/>
        <w:numPr>
          <w:ilvl w:val="0"/>
          <w:numId w:val="2"/>
        </w:numPr>
        <w:spacing w:after="0" w:line="240" w:lineRule="auto"/>
        <w:rPr>
          <w:rFonts w:ascii="Arial" w:hAnsi="Arial" w:cs="Arial"/>
        </w:rPr>
      </w:pPr>
      <w:r>
        <w:rPr>
          <w:rFonts w:ascii="Arial" w:hAnsi="Arial" w:cs="Arial"/>
        </w:rPr>
        <w:t>confirm and approve regional labor market data provided by the Arizona Office of Eco</w:t>
      </w:r>
      <w:r w:rsidR="00EE611C">
        <w:rPr>
          <w:rFonts w:ascii="Arial" w:hAnsi="Arial" w:cs="Arial"/>
        </w:rPr>
        <w:t>nomic Opportunity annually.</w:t>
      </w:r>
    </w:p>
    <w:p w14:paraId="4A437584" w14:textId="77777777" w:rsidR="00AC175B" w:rsidRDefault="00AC175B" w:rsidP="00AC175B">
      <w:pPr>
        <w:pStyle w:val="ListParagraph"/>
        <w:spacing w:after="0" w:line="240" w:lineRule="auto"/>
        <w:rPr>
          <w:rFonts w:ascii="Arial" w:hAnsi="Arial" w:cs="Arial"/>
        </w:rPr>
      </w:pPr>
    </w:p>
    <w:p w14:paraId="6424D249" w14:textId="77777777" w:rsidR="00AC175B" w:rsidRDefault="00AC175B" w:rsidP="00AC175B">
      <w:pPr>
        <w:pStyle w:val="ListParagraph"/>
        <w:spacing w:after="0" w:line="240" w:lineRule="auto"/>
        <w:rPr>
          <w:rFonts w:ascii="Arial" w:hAnsi="Arial" w:cs="Arial"/>
        </w:rPr>
      </w:pPr>
    </w:p>
    <w:p w14:paraId="1C557010" w14:textId="6BCD9E6C" w:rsidR="00EE611C" w:rsidRPr="00AC175B" w:rsidRDefault="00EE611C" w:rsidP="00AC175B">
      <w:pPr>
        <w:spacing w:after="0" w:line="240" w:lineRule="auto"/>
        <w:rPr>
          <w:rFonts w:ascii="Arial" w:hAnsi="Arial" w:cs="Arial"/>
        </w:rPr>
      </w:pPr>
      <w:r w:rsidRPr="00AC175B">
        <w:rPr>
          <w:rFonts w:ascii="Montserrat SemiBold" w:hAnsi="Montserrat SemiBold" w:cs="Arial"/>
          <w:sz w:val="24"/>
          <w:szCs w:val="24"/>
        </w:rPr>
        <w:t>Co-Chair/Membership</w:t>
      </w:r>
    </w:p>
    <w:p w14:paraId="2BB0B0BC" w14:textId="77777777" w:rsidR="00EE611C" w:rsidRPr="00C71B5B" w:rsidRDefault="00EE611C" w:rsidP="00DD52EE">
      <w:pPr>
        <w:spacing w:after="0" w:line="240" w:lineRule="auto"/>
        <w:ind w:left="450"/>
        <w:rPr>
          <w:rFonts w:ascii="Arial" w:hAnsi="Arial" w:cs="Arial"/>
          <w:sz w:val="12"/>
          <w:szCs w:val="12"/>
        </w:rPr>
      </w:pPr>
    </w:p>
    <w:p w14:paraId="395C3E78" w14:textId="44BBED8A" w:rsidR="00706BA0" w:rsidRDefault="00B37832" w:rsidP="002F3A6F">
      <w:pPr>
        <w:spacing w:after="0" w:line="240" w:lineRule="auto"/>
        <w:rPr>
          <w:rFonts w:ascii="Arial" w:hAnsi="Arial" w:cs="Arial"/>
        </w:rPr>
      </w:pPr>
      <w:r>
        <w:rPr>
          <w:rFonts w:ascii="Arial" w:hAnsi="Arial" w:cs="Arial"/>
        </w:rPr>
        <w:t xml:space="preserve">One (1) co-chair of the Commission shall be the State Superintendent of Public Instruction or designee, and one (1) co-chair shall represent business and industry. Nominees shall be submitted to the State Superintendent </w:t>
      </w:r>
      <w:r w:rsidR="00CA3E50">
        <w:rPr>
          <w:rFonts w:ascii="Arial" w:hAnsi="Arial" w:cs="Arial"/>
        </w:rPr>
        <w:t>of Public Instruction for official appointment.</w:t>
      </w:r>
      <w:r w:rsidR="006A44FE">
        <w:rPr>
          <w:rFonts w:ascii="Arial" w:hAnsi="Arial" w:cs="Arial"/>
        </w:rPr>
        <w:t xml:space="preserve"> </w:t>
      </w:r>
      <w:r w:rsidR="00CA3E50">
        <w:rPr>
          <w:rFonts w:ascii="Arial" w:hAnsi="Arial" w:cs="Arial"/>
        </w:rPr>
        <w:t>Membership shall consist of individuals who represent large and small business and industries</w:t>
      </w:r>
      <w:r w:rsidR="00D176A8">
        <w:rPr>
          <w:rFonts w:ascii="Arial" w:hAnsi="Arial" w:cs="Arial"/>
        </w:rPr>
        <w:t xml:space="preserve"> and </w:t>
      </w:r>
      <w:r w:rsidR="00CA3E50">
        <w:rPr>
          <w:rFonts w:ascii="Arial" w:hAnsi="Arial" w:cs="Arial"/>
        </w:rPr>
        <w:t xml:space="preserve">the geographic and demographic diversity of the state with at least one of the following </w:t>
      </w:r>
      <w:r w:rsidR="00B44A16">
        <w:rPr>
          <w:rFonts w:ascii="Arial" w:hAnsi="Arial" w:cs="Arial"/>
        </w:rPr>
        <w:t>c</w:t>
      </w:r>
      <w:r w:rsidR="00CA3E50">
        <w:rPr>
          <w:rFonts w:ascii="Arial" w:hAnsi="Arial" w:cs="Arial"/>
        </w:rPr>
        <w:t>onstituencies:</w:t>
      </w:r>
    </w:p>
    <w:p w14:paraId="6F8E9292" w14:textId="7934DA59" w:rsidR="00706BA0" w:rsidRPr="00DD52EE" w:rsidRDefault="00706BA0" w:rsidP="00A7638D">
      <w:pPr>
        <w:pStyle w:val="ListParagraph"/>
        <w:numPr>
          <w:ilvl w:val="0"/>
          <w:numId w:val="8"/>
        </w:numPr>
        <w:spacing w:after="0" w:line="240" w:lineRule="auto"/>
        <w:ind w:left="720"/>
        <w:rPr>
          <w:rFonts w:ascii="Arial" w:hAnsi="Arial" w:cs="Arial"/>
        </w:rPr>
      </w:pPr>
      <w:r w:rsidRPr="00DD52EE">
        <w:rPr>
          <w:rFonts w:ascii="Arial" w:hAnsi="Arial" w:cs="Arial"/>
        </w:rPr>
        <w:t>Representatives from each of the Career Clusters</w:t>
      </w:r>
    </w:p>
    <w:p w14:paraId="78F343F4" w14:textId="6EEE3323" w:rsidR="00CA3E50"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Agriculture, Food and Natural Resources</w:t>
      </w:r>
    </w:p>
    <w:p w14:paraId="268C6750" w14:textId="48B6A42B" w:rsidR="00A97C8A"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Architecture and Construction</w:t>
      </w:r>
    </w:p>
    <w:p w14:paraId="1B91E2F4" w14:textId="19D1081A" w:rsidR="00A97C8A"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Audio/Video Technology and Communications</w:t>
      </w:r>
    </w:p>
    <w:p w14:paraId="7780E763" w14:textId="0157C714" w:rsidR="00A97C8A"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Business Management and Administration</w:t>
      </w:r>
    </w:p>
    <w:p w14:paraId="1AFC5E3B" w14:textId="518BC519" w:rsidR="00A97C8A"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Education and Training</w:t>
      </w:r>
    </w:p>
    <w:p w14:paraId="17D6A157" w14:textId="3C1BA8D2" w:rsidR="00A97C8A"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Health Science and Human Services</w:t>
      </w:r>
    </w:p>
    <w:p w14:paraId="04416837" w14:textId="37C4D12C" w:rsidR="00A97C8A"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Hospitality and Tourism</w:t>
      </w:r>
    </w:p>
    <w:p w14:paraId="57E95814" w14:textId="4FB4D504" w:rsidR="00A97C8A"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Information Technology</w:t>
      </w:r>
    </w:p>
    <w:p w14:paraId="2F2000F2" w14:textId="0EC201DB" w:rsidR="00787034" w:rsidRPr="003833D8" w:rsidRDefault="00A97C8A" w:rsidP="00787034">
      <w:pPr>
        <w:pStyle w:val="ListParagraph"/>
        <w:numPr>
          <w:ilvl w:val="0"/>
          <w:numId w:val="5"/>
        </w:numPr>
        <w:spacing w:after="0" w:line="240" w:lineRule="auto"/>
        <w:ind w:left="1350"/>
        <w:rPr>
          <w:rFonts w:ascii="Arial" w:hAnsi="Arial" w:cs="Arial"/>
        </w:rPr>
      </w:pPr>
      <w:r w:rsidRPr="008A523E">
        <w:rPr>
          <w:rFonts w:ascii="Arial" w:hAnsi="Arial" w:cs="Arial"/>
        </w:rPr>
        <w:t>Law, Public Safety, Correction and Security</w:t>
      </w:r>
    </w:p>
    <w:p w14:paraId="51B8FDFF" w14:textId="324AD343" w:rsidR="00A97C8A" w:rsidRPr="008A523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t>Manufacturing and Engineering</w:t>
      </w:r>
    </w:p>
    <w:p w14:paraId="53697B82" w14:textId="2FC1D1EC" w:rsidR="00DD52EE" w:rsidRDefault="00A97C8A" w:rsidP="00DD52EE">
      <w:pPr>
        <w:pStyle w:val="ListParagraph"/>
        <w:numPr>
          <w:ilvl w:val="0"/>
          <w:numId w:val="5"/>
        </w:numPr>
        <w:spacing w:after="0" w:line="240" w:lineRule="auto"/>
        <w:ind w:left="1350"/>
        <w:rPr>
          <w:rFonts w:ascii="Arial" w:hAnsi="Arial" w:cs="Arial"/>
        </w:rPr>
      </w:pPr>
      <w:r w:rsidRPr="008A523E">
        <w:rPr>
          <w:rFonts w:ascii="Arial" w:hAnsi="Arial" w:cs="Arial"/>
        </w:rPr>
        <w:lastRenderedPageBreak/>
        <w:t>Transportation, Distribution and Logistics</w:t>
      </w:r>
    </w:p>
    <w:p w14:paraId="0352B474" w14:textId="77777777" w:rsidR="00052F18" w:rsidRDefault="00052F18" w:rsidP="002E546B">
      <w:pPr>
        <w:pBdr>
          <w:bottom w:val="single" w:sz="4" w:space="1" w:color="auto"/>
        </w:pBdr>
        <w:spacing w:after="0" w:line="240" w:lineRule="auto"/>
        <w:jc w:val="right"/>
        <w:rPr>
          <w:rFonts w:ascii="Arial" w:hAnsi="Arial" w:cs="Arial"/>
        </w:rPr>
      </w:pPr>
    </w:p>
    <w:p w14:paraId="0F0C29D1" w14:textId="5C6E0215" w:rsidR="003833D8" w:rsidRDefault="002E546B" w:rsidP="002E546B">
      <w:pPr>
        <w:pBdr>
          <w:bottom w:val="single" w:sz="4" w:space="1" w:color="auto"/>
        </w:pBdr>
        <w:spacing w:after="0" w:line="240" w:lineRule="auto"/>
        <w:jc w:val="right"/>
        <w:rPr>
          <w:rFonts w:ascii="Arial" w:hAnsi="Arial" w:cs="Arial"/>
        </w:rPr>
      </w:pPr>
      <w:r>
        <w:rPr>
          <w:rFonts w:ascii="Arial" w:hAnsi="Arial" w:cs="Arial"/>
        </w:rPr>
        <w:t>ACTEQC continued…</w:t>
      </w:r>
    </w:p>
    <w:p w14:paraId="1806E75F" w14:textId="77777777" w:rsidR="00C67E58" w:rsidRDefault="00C67E58" w:rsidP="003833D8">
      <w:pPr>
        <w:spacing w:after="0" w:line="240" w:lineRule="auto"/>
        <w:rPr>
          <w:rFonts w:ascii="Arial" w:hAnsi="Arial" w:cs="Arial"/>
        </w:rPr>
      </w:pPr>
    </w:p>
    <w:p w14:paraId="653BDC7E" w14:textId="77777777" w:rsidR="003833D8" w:rsidRDefault="003833D8" w:rsidP="000451DE">
      <w:pPr>
        <w:spacing w:after="0" w:line="240" w:lineRule="auto"/>
        <w:ind w:left="630"/>
        <w:rPr>
          <w:rFonts w:ascii="Arial" w:hAnsi="Arial" w:cs="Arial"/>
        </w:rPr>
      </w:pPr>
    </w:p>
    <w:p w14:paraId="2F4ED0A5" w14:textId="77777777" w:rsidR="00CB48B7" w:rsidRPr="003833D8" w:rsidRDefault="00CB48B7" w:rsidP="000451DE">
      <w:pPr>
        <w:spacing w:after="0" w:line="240" w:lineRule="auto"/>
        <w:ind w:left="630"/>
        <w:rPr>
          <w:rFonts w:ascii="Arial" w:hAnsi="Arial" w:cs="Arial"/>
        </w:rPr>
      </w:pPr>
    </w:p>
    <w:p w14:paraId="3DD45BC0" w14:textId="7ADA0D75" w:rsidR="00B44A16" w:rsidRPr="008A523E" w:rsidRDefault="00F50295" w:rsidP="000451DE">
      <w:pPr>
        <w:pStyle w:val="ListParagraph"/>
        <w:numPr>
          <w:ilvl w:val="0"/>
          <w:numId w:val="8"/>
        </w:numPr>
        <w:tabs>
          <w:tab w:val="left" w:pos="630"/>
        </w:tabs>
        <w:spacing w:after="0" w:line="240" w:lineRule="auto"/>
        <w:ind w:left="630" w:hanging="450"/>
        <w:rPr>
          <w:rFonts w:ascii="Arial" w:hAnsi="Arial" w:cs="Arial"/>
        </w:rPr>
      </w:pPr>
      <w:r w:rsidRPr="008A523E">
        <w:rPr>
          <w:rFonts w:ascii="Arial" w:hAnsi="Arial" w:cs="Arial"/>
        </w:rPr>
        <w:t>Representative from a Secondary School District</w:t>
      </w:r>
    </w:p>
    <w:p w14:paraId="205C5897" w14:textId="444DC29B" w:rsidR="00F50295" w:rsidRPr="008A523E" w:rsidRDefault="00F50295" w:rsidP="000451DE">
      <w:pPr>
        <w:pStyle w:val="ListParagraph"/>
        <w:numPr>
          <w:ilvl w:val="0"/>
          <w:numId w:val="8"/>
        </w:numPr>
        <w:spacing w:after="0" w:line="240" w:lineRule="auto"/>
        <w:ind w:left="630" w:hanging="450"/>
        <w:rPr>
          <w:rFonts w:ascii="Arial" w:hAnsi="Arial" w:cs="Arial"/>
        </w:rPr>
      </w:pPr>
      <w:r w:rsidRPr="008A523E">
        <w:rPr>
          <w:rFonts w:ascii="Arial" w:hAnsi="Arial" w:cs="Arial"/>
        </w:rPr>
        <w:t xml:space="preserve">Two (2) representatives from the Community College to be nominated from among the Presidents Council or </w:t>
      </w:r>
      <w:r w:rsidR="00E776D0" w:rsidRPr="000C6014">
        <w:rPr>
          <w:rStyle w:val="Emphasis"/>
          <w:rFonts w:ascii="Arial" w:hAnsi="Arial" w:cs="Arial"/>
          <w:i w:val="0"/>
          <w:iCs w:val="0"/>
          <w:shd w:val="clear" w:color="auto" w:fill="FFFFFF"/>
        </w:rPr>
        <w:t>Arizona Community College</w:t>
      </w:r>
      <w:r w:rsidR="00E776D0" w:rsidRPr="000C6014">
        <w:rPr>
          <w:rFonts w:ascii="Arial" w:hAnsi="Arial" w:cs="Arial"/>
          <w:shd w:val="clear" w:color="auto" w:fill="FFFFFF"/>
        </w:rPr>
        <w:t> Coordinating Council (AC4)</w:t>
      </w:r>
      <w:r w:rsidRPr="000C6014">
        <w:rPr>
          <w:rFonts w:ascii="Arial" w:hAnsi="Arial" w:cs="Arial"/>
        </w:rPr>
        <w:t xml:space="preserve"> </w:t>
      </w:r>
      <w:r w:rsidRPr="008A523E">
        <w:rPr>
          <w:rFonts w:ascii="Arial" w:hAnsi="Arial" w:cs="Arial"/>
        </w:rPr>
        <w:t xml:space="preserve">if </w:t>
      </w:r>
      <w:proofErr w:type="gramStart"/>
      <w:r w:rsidRPr="008A523E">
        <w:rPr>
          <w:rFonts w:ascii="Arial" w:hAnsi="Arial" w:cs="Arial"/>
        </w:rPr>
        <w:t>so</w:t>
      </w:r>
      <w:proofErr w:type="gramEnd"/>
      <w:r w:rsidRPr="008A523E">
        <w:rPr>
          <w:rFonts w:ascii="Arial" w:hAnsi="Arial" w:cs="Arial"/>
        </w:rPr>
        <w:t xml:space="preserve"> designated by the presidents. One(1) member </w:t>
      </w:r>
      <w:r w:rsidR="008C6A8E">
        <w:rPr>
          <w:rFonts w:ascii="Arial" w:hAnsi="Arial" w:cs="Arial"/>
        </w:rPr>
        <w:t>should</w:t>
      </w:r>
      <w:r w:rsidRPr="008A523E">
        <w:rPr>
          <w:rFonts w:ascii="Arial" w:hAnsi="Arial" w:cs="Arial"/>
        </w:rPr>
        <w:t xml:space="preserve"> represent the rural population and one (1) member </w:t>
      </w:r>
      <w:r w:rsidR="008C6A8E">
        <w:rPr>
          <w:rFonts w:ascii="Arial" w:hAnsi="Arial" w:cs="Arial"/>
        </w:rPr>
        <w:t>should</w:t>
      </w:r>
      <w:r w:rsidRPr="008A523E">
        <w:rPr>
          <w:rFonts w:ascii="Arial" w:hAnsi="Arial" w:cs="Arial"/>
        </w:rPr>
        <w:t xml:space="preserve"> represent the urban population</w:t>
      </w:r>
      <w:r w:rsidR="007D5EA9" w:rsidRPr="008A523E">
        <w:rPr>
          <w:rFonts w:ascii="Arial" w:hAnsi="Arial" w:cs="Arial"/>
        </w:rPr>
        <w:t>.</w:t>
      </w:r>
    </w:p>
    <w:p w14:paraId="77DF3A92" w14:textId="7C2E37EE" w:rsidR="007D5EA9" w:rsidRPr="008A523E" w:rsidRDefault="007D5EA9" w:rsidP="000451DE">
      <w:pPr>
        <w:pStyle w:val="ListParagraph"/>
        <w:numPr>
          <w:ilvl w:val="0"/>
          <w:numId w:val="8"/>
        </w:numPr>
        <w:tabs>
          <w:tab w:val="left" w:pos="630"/>
        </w:tabs>
        <w:spacing w:after="0" w:line="240" w:lineRule="auto"/>
        <w:ind w:left="630" w:hanging="450"/>
        <w:rPr>
          <w:rFonts w:ascii="Arial" w:hAnsi="Arial" w:cs="Arial"/>
        </w:rPr>
      </w:pPr>
      <w:r w:rsidRPr="008A523E">
        <w:rPr>
          <w:rFonts w:ascii="Arial" w:hAnsi="Arial" w:cs="Arial"/>
        </w:rPr>
        <w:t xml:space="preserve">Representative </w:t>
      </w:r>
      <w:r w:rsidR="00122F36">
        <w:rPr>
          <w:rFonts w:ascii="Arial" w:hAnsi="Arial" w:cs="Arial"/>
        </w:rPr>
        <w:t>from</w:t>
      </w:r>
      <w:r w:rsidRPr="008A523E">
        <w:rPr>
          <w:rFonts w:ascii="Arial" w:hAnsi="Arial" w:cs="Arial"/>
        </w:rPr>
        <w:t xml:space="preserve"> the University to be rotated every 3 years among the universities recognized by the Board of Regents.</w:t>
      </w:r>
    </w:p>
    <w:p w14:paraId="0C9EABAF" w14:textId="70CCD844" w:rsidR="007D5EA9" w:rsidRPr="008A523E" w:rsidRDefault="007D5EA9" w:rsidP="000451DE">
      <w:pPr>
        <w:pStyle w:val="ListParagraph"/>
        <w:numPr>
          <w:ilvl w:val="0"/>
          <w:numId w:val="8"/>
        </w:numPr>
        <w:tabs>
          <w:tab w:val="left" w:pos="630"/>
        </w:tabs>
        <w:spacing w:after="0" w:line="240" w:lineRule="auto"/>
        <w:ind w:left="630" w:hanging="450"/>
        <w:rPr>
          <w:rFonts w:ascii="Arial" w:hAnsi="Arial" w:cs="Arial"/>
        </w:rPr>
      </w:pPr>
      <w:r w:rsidRPr="008A523E">
        <w:rPr>
          <w:rFonts w:ascii="Arial" w:hAnsi="Arial" w:cs="Arial"/>
        </w:rPr>
        <w:t>Representatives of education advocacy groups i.e., CFA, Helios, ABEC, etc.</w:t>
      </w:r>
    </w:p>
    <w:p w14:paraId="56A52E10" w14:textId="7B3D5177" w:rsidR="007D5EA9" w:rsidRPr="008A523E" w:rsidRDefault="007D5EA9" w:rsidP="000451DE">
      <w:pPr>
        <w:pStyle w:val="ListParagraph"/>
        <w:numPr>
          <w:ilvl w:val="0"/>
          <w:numId w:val="8"/>
        </w:numPr>
        <w:tabs>
          <w:tab w:val="left" w:pos="630"/>
        </w:tabs>
        <w:spacing w:after="0" w:line="240" w:lineRule="auto"/>
        <w:ind w:left="630" w:hanging="450"/>
        <w:rPr>
          <w:rFonts w:ascii="Arial" w:hAnsi="Arial" w:cs="Arial"/>
        </w:rPr>
      </w:pPr>
      <w:r w:rsidRPr="008A523E">
        <w:rPr>
          <w:rFonts w:ascii="Arial" w:hAnsi="Arial" w:cs="Arial"/>
        </w:rPr>
        <w:t>ADE/CTE staff to include the Director of Career and Technical Education and/or designee(s)</w:t>
      </w:r>
    </w:p>
    <w:p w14:paraId="7CA49350" w14:textId="77777777" w:rsidR="007D5EA9" w:rsidRDefault="007D5EA9" w:rsidP="00491D14">
      <w:pPr>
        <w:tabs>
          <w:tab w:val="left" w:pos="720"/>
          <w:tab w:val="left" w:pos="1165"/>
        </w:tabs>
        <w:spacing w:after="0" w:line="240" w:lineRule="auto"/>
      </w:pPr>
    </w:p>
    <w:p w14:paraId="3D1C585D" w14:textId="77777777" w:rsidR="002F3A6F" w:rsidRDefault="002F3A6F" w:rsidP="007D5EA9">
      <w:pPr>
        <w:tabs>
          <w:tab w:val="left" w:pos="1165"/>
        </w:tabs>
        <w:spacing w:after="0" w:line="240" w:lineRule="auto"/>
        <w:rPr>
          <w:rFonts w:ascii="Montserrat SemiBold" w:hAnsi="Montserrat SemiBold"/>
          <w:sz w:val="24"/>
          <w:szCs w:val="24"/>
        </w:rPr>
      </w:pPr>
    </w:p>
    <w:p w14:paraId="1B2C5E72" w14:textId="36823AF3" w:rsidR="007D5EA9" w:rsidRPr="00187EE0" w:rsidRDefault="007D5EA9" w:rsidP="007D5EA9">
      <w:pPr>
        <w:tabs>
          <w:tab w:val="left" w:pos="1165"/>
        </w:tabs>
        <w:spacing w:after="0" w:line="240" w:lineRule="auto"/>
        <w:rPr>
          <w:rFonts w:ascii="Montserrat SemiBold" w:hAnsi="Montserrat SemiBold"/>
          <w:sz w:val="24"/>
          <w:szCs w:val="24"/>
        </w:rPr>
      </w:pPr>
      <w:r w:rsidRPr="00187EE0">
        <w:rPr>
          <w:rFonts w:ascii="Montserrat SemiBold" w:hAnsi="Montserrat SemiBold"/>
          <w:sz w:val="24"/>
          <w:szCs w:val="24"/>
        </w:rPr>
        <w:t>Member Selection and Vacancies</w:t>
      </w:r>
    </w:p>
    <w:p w14:paraId="7CEFD50D" w14:textId="77777777" w:rsidR="00B44A16" w:rsidRPr="00C71B5B" w:rsidRDefault="00B44A16" w:rsidP="00DD52EE">
      <w:pPr>
        <w:tabs>
          <w:tab w:val="left" w:pos="1165"/>
        </w:tabs>
        <w:spacing w:after="0" w:line="240" w:lineRule="auto"/>
        <w:ind w:left="1080"/>
        <w:rPr>
          <w:sz w:val="12"/>
          <w:szCs w:val="12"/>
        </w:rPr>
      </w:pPr>
    </w:p>
    <w:p w14:paraId="0ABBF29C" w14:textId="29923E19" w:rsidR="00AA549B" w:rsidRDefault="00A17212" w:rsidP="00187EE0">
      <w:pPr>
        <w:rPr>
          <w:rFonts w:ascii="Arial" w:hAnsi="Arial" w:cs="Arial"/>
        </w:rPr>
      </w:pPr>
      <w:r>
        <w:rPr>
          <w:rFonts w:ascii="Arial" w:hAnsi="Arial" w:cs="Arial"/>
        </w:rPr>
        <w:t xml:space="preserve">A candidate for a vacancy shall be filled with the same membership composition type as the individual leaving the Commission. Members of the Commission </w:t>
      </w:r>
      <w:r w:rsidR="00237B0E">
        <w:rPr>
          <w:rFonts w:ascii="Arial" w:hAnsi="Arial" w:cs="Arial"/>
        </w:rPr>
        <w:t>may</w:t>
      </w:r>
      <w:r>
        <w:rPr>
          <w:rFonts w:ascii="Arial" w:hAnsi="Arial" w:cs="Arial"/>
        </w:rPr>
        <w:t xml:space="preserve"> recommend a replacement.</w:t>
      </w:r>
    </w:p>
    <w:p w14:paraId="7F4AB925" w14:textId="77777777" w:rsidR="002F3A6F" w:rsidRDefault="002F3A6F" w:rsidP="00C71B5B">
      <w:pPr>
        <w:spacing w:after="0" w:line="240" w:lineRule="auto"/>
        <w:rPr>
          <w:rFonts w:ascii="Montserrat SemiBold" w:hAnsi="Montserrat SemiBold" w:cs="Arial"/>
          <w:sz w:val="24"/>
          <w:szCs w:val="24"/>
        </w:rPr>
      </w:pPr>
    </w:p>
    <w:p w14:paraId="448ACC96" w14:textId="0376CAB2" w:rsidR="00A17212" w:rsidRDefault="00A17212" w:rsidP="00C71B5B">
      <w:pPr>
        <w:spacing w:after="0" w:line="240" w:lineRule="auto"/>
        <w:rPr>
          <w:rFonts w:ascii="Montserrat SemiBold" w:hAnsi="Montserrat SemiBold" w:cs="Arial"/>
          <w:sz w:val="24"/>
          <w:szCs w:val="24"/>
        </w:rPr>
      </w:pPr>
      <w:r w:rsidRPr="00C71B5B">
        <w:rPr>
          <w:rFonts w:ascii="Montserrat SemiBold" w:hAnsi="Montserrat SemiBold" w:cs="Arial"/>
          <w:sz w:val="24"/>
          <w:szCs w:val="24"/>
        </w:rPr>
        <w:t>Length/Term of Service</w:t>
      </w:r>
    </w:p>
    <w:p w14:paraId="4CDAB83E" w14:textId="77777777" w:rsidR="00C71B5B" w:rsidRPr="00C71B5B" w:rsidRDefault="00C71B5B" w:rsidP="00C71B5B">
      <w:pPr>
        <w:spacing w:after="0" w:line="240" w:lineRule="auto"/>
        <w:rPr>
          <w:rFonts w:ascii="Montserrat SemiBold" w:hAnsi="Montserrat SemiBold" w:cs="Arial"/>
          <w:sz w:val="12"/>
          <w:szCs w:val="12"/>
        </w:rPr>
      </w:pPr>
    </w:p>
    <w:p w14:paraId="5C45D0AE" w14:textId="4842E9CE" w:rsidR="00A17212" w:rsidRDefault="00A17212" w:rsidP="00187EE0">
      <w:pPr>
        <w:rPr>
          <w:rFonts w:ascii="Arial" w:hAnsi="Arial" w:cs="Arial"/>
        </w:rPr>
      </w:pPr>
      <w:r>
        <w:rPr>
          <w:rFonts w:ascii="Arial" w:hAnsi="Arial" w:cs="Arial"/>
        </w:rPr>
        <w:t>The term for each member shall be four (4) years. In May of each year, Commission member shall confirm their continuation to remain on the Commission and their commitment to the purpose of the Commission.</w:t>
      </w:r>
    </w:p>
    <w:p w14:paraId="54B5EC69" w14:textId="77777777" w:rsidR="002F3A6F" w:rsidRDefault="002F3A6F" w:rsidP="00C71B5B">
      <w:pPr>
        <w:spacing w:after="0" w:line="240" w:lineRule="auto"/>
        <w:rPr>
          <w:rFonts w:ascii="Montserrat SemiBold" w:hAnsi="Montserrat SemiBold" w:cs="Arial"/>
          <w:sz w:val="24"/>
          <w:szCs w:val="24"/>
        </w:rPr>
      </w:pPr>
    </w:p>
    <w:p w14:paraId="4109A636" w14:textId="70ADC044" w:rsidR="00A17212" w:rsidRDefault="00A17212" w:rsidP="00C71B5B">
      <w:pPr>
        <w:spacing w:after="0" w:line="240" w:lineRule="auto"/>
        <w:rPr>
          <w:rFonts w:ascii="Montserrat SemiBold" w:hAnsi="Montserrat SemiBold" w:cs="Arial"/>
          <w:sz w:val="24"/>
          <w:szCs w:val="24"/>
        </w:rPr>
      </w:pPr>
      <w:r w:rsidRPr="00C71B5B">
        <w:rPr>
          <w:rFonts w:ascii="Montserrat SemiBold" w:hAnsi="Montserrat SemiBold" w:cs="Arial"/>
          <w:sz w:val="24"/>
          <w:szCs w:val="24"/>
        </w:rPr>
        <w:t>Meeting Minutes</w:t>
      </w:r>
    </w:p>
    <w:p w14:paraId="28DABD40" w14:textId="77777777" w:rsidR="00C71B5B" w:rsidRPr="00C71B5B" w:rsidRDefault="00C71B5B" w:rsidP="00C71B5B">
      <w:pPr>
        <w:spacing w:after="0" w:line="240" w:lineRule="auto"/>
        <w:rPr>
          <w:rFonts w:ascii="Montserrat SemiBold" w:hAnsi="Montserrat SemiBold" w:cs="Arial"/>
          <w:sz w:val="12"/>
          <w:szCs w:val="12"/>
        </w:rPr>
      </w:pPr>
    </w:p>
    <w:p w14:paraId="7E994384" w14:textId="6121A48C" w:rsidR="00A17212" w:rsidRDefault="00A17212" w:rsidP="00187EE0">
      <w:pPr>
        <w:rPr>
          <w:rFonts w:ascii="Arial" w:hAnsi="Arial" w:cs="Arial"/>
        </w:rPr>
      </w:pPr>
      <w:r>
        <w:rPr>
          <w:rFonts w:ascii="Arial" w:hAnsi="Arial" w:cs="Arial"/>
        </w:rPr>
        <w:t xml:space="preserve">ADE/CTE staff or designee shall be responsible for recording meeting minutes. Minutes shall be sent to all Commission members within 30 days following each meeting </w:t>
      </w:r>
      <w:r w:rsidR="00E06366">
        <w:rPr>
          <w:rFonts w:ascii="Arial" w:hAnsi="Arial" w:cs="Arial"/>
        </w:rPr>
        <w:t>to be</w:t>
      </w:r>
      <w:r>
        <w:rPr>
          <w:rFonts w:ascii="Arial" w:hAnsi="Arial" w:cs="Arial"/>
        </w:rPr>
        <w:t xml:space="preserve"> reviewed and a vote of acceptance made at the next scheduled meeting.</w:t>
      </w:r>
    </w:p>
    <w:p w14:paraId="18240977" w14:textId="77777777" w:rsidR="002F3A6F" w:rsidRDefault="002F3A6F" w:rsidP="00C71B5B">
      <w:pPr>
        <w:spacing w:after="0" w:line="240" w:lineRule="auto"/>
        <w:rPr>
          <w:rFonts w:ascii="Montserrat SemiBold" w:hAnsi="Montserrat SemiBold" w:cs="Arial"/>
          <w:sz w:val="24"/>
          <w:szCs w:val="24"/>
        </w:rPr>
      </w:pPr>
    </w:p>
    <w:p w14:paraId="2F9B9807" w14:textId="623B4DC9" w:rsidR="00A17212" w:rsidRDefault="00462BA3" w:rsidP="00C71B5B">
      <w:pPr>
        <w:spacing w:after="0" w:line="240" w:lineRule="auto"/>
        <w:rPr>
          <w:rFonts w:ascii="Montserrat SemiBold" w:hAnsi="Montserrat SemiBold" w:cs="Arial"/>
          <w:sz w:val="24"/>
          <w:szCs w:val="24"/>
        </w:rPr>
      </w:pPr>
      <w:r w:rsidRPr="006340E1">
        <w:rPr>
          <w:rFonts w:ascii="Montserrat SemiBold" w:hAnsi="Montserrat SemiBold" w:cs="Arial"/>
          <w:sz w:val="24"/>
          <w:szCs w:val="24"/>
        </w:rPr>
        <w:t>Voting</w:t>
      </w:r>
    </w:p>
    <w:p w14:paraId="2888C25E" w14:textId="77777777" w:rsidR="00C71B5B" w:rsidRPr="00C71B5B" w:rsidRDefault="00C71B5B" w:rsidP="00C71B5B">
      <w:pPr>
        <w:spacing w:after="0" w:line="240" w:lineRule="auto"/>
        <w:rPr>
          <w:rFonts w:ascii="Montserrat SemiBold" w:hAnsi="Montserrat SemiBold" w:cs="Arial"/>
          <w:sz w:val="12"/>
          <w:szCs w:val="12"/>
        </w:rPr>
      </w:pPr>
    </w:p>
    <w:p w14:paraId="1E50B6E6" w14:textId="46AC9DDE" w:rsidR="002E546B" w:rsidRDefault="00462BA3" w:rsidP="002E546B">
      <w:pPr>
        <w:spacing w:after="0" w:line="240" w:lineRule="auto"/>
        <w:rPr>
          <w:rFonts w:ascii="Arial" w:hAnsi="Arial" w:cs="Arial"/>
        </w:rPr>
      </w:pPr>
      <w:r>
        <w:rPr>
          <w:rFonts w:ascii="Arial" w:hAnsi="Arial" w:cs="Arial"/>
        </w:rPr>
        <w:t>Every Commission member shall be entitled to vot</w:t>
      </w:r>
      <w:r w:rsidR="008A523E">
        <w:rPr>
          <w:rFonts w:ascii="Arial" w:hAnsi="Arial" w:cs="Arial"/>
        </w:rPr>
        <w:t>e</w:t>
      </w:r>
      <w:r>
        <w:rPr>
          <w:rFonts w:ascii="Arial" w:hAnsi="Arial" w:cs="Arial"/>
        </w:rPr>
        <w:t>. All voting decisions shall be determine</w:t>
      </w:r>
      <w:r w:rsidR="00E06366">
        <w:rPr>
          <w:rFonts w:ascii="Arial" w:hAnsi="Arial" w:cs="Arial"/>
        </w:rPr>
        <w:t>d</w:t>
      </w:r>
      <w:r>
        <w:rPr>
          <w:rFonts w:ascii="Arial" w:hAnsi="Arial" w:cs="Arial"/>
        </w:rPr>
        <w:t xml:space="preserve"> by </w:t>
      </w:r>
      <w:r w:rsidR="00E06366">
        <w:rPr>
          <w:rFonts w:ascii="Arial" w:hAnsi="Arial" w:cs="Arial"/>
        </w:rPr>
        <w:t xml:space="preserve">a </w:t>
      </w:r>
      <w:r>
        <w:rPr>
          <w:rFonts w:ascii="Arial" w:hAnsi="Arial" w:cs="Arial"/>
        </w:rPr>
        <w:t>majority vote of the members present. No proxy representation shall be recognized.</w:t>
      </w:r>
    </w:p>
    <w:p w14:paraId="2CBC4223" w14:textId="77777777" w:rsidR="002E546B" w:rsidRDefault="002E546B" w:rsidP="002E546B">
      <w:pPr>
        <w:spacing w:after="0" w:line="240" w:lineRule="auto"/>
        <w:rPr>
          <w:rFonts w:ascii="Arial" w:hAnsi="Arial" w:cs="Arial"/>
        </w:rPr>
      </w:pPr>
    </w:p>
    <w:p w14:paraId="76597699" w14:textId="77777777" w:rsidR="002E546B" w:rsidRDefault="002E546B" w:rsidP="002E546B">
      <w:pPr>
        <w:spacing w:after="0" w:line="240" w:lineRule="auto"/>
        <w:rPr>
          <w:rFonts w:ascii="Arial" w:hAnsi="Arial" w:cs="Arial"/>
        </w:rPr>
      </w:pPr>
    </w:p>
    <w:p w14:paraId="17E5D1C2" w14:textId="4D41F4CF" w:rsidR="00462BA3" w:rsidRPr="000451DE" w:rsidRDefault="00462BA3" w:rsidP="002E546B">
      <w:pPr>
        <w:spacing w:after="0" w:line="240" w:lineRule="auto"/>
        <w:rPr>
          <w:rFonts w:ascii="Arial" w:hAnsi="Arial" w:cs="Arial"/>
        </w:rPr>
      </w:pPr>
      <w:r w:rsidRPr="006340E1">
        <w:rPr>
          <w:rFonts w:ascii="Montserrat SemiBold" w:hAnsi="Montserrat SemiBold" w:cs="Arial"/>
          <w:sz w:val="24"/>
          <w:szCs w:val="24"/>
        </w:rPr>
        <w:t>Meetings and Committees</w:t>
      </w:r>
    </w:p>
    <w:p w14:paraId="08AEAFD9" w14:textId="77777777" w:rsidR="00C71B5B" w:rsidRDefault="00462BA3" w:rsidP="00187EE0">
      <w:pPr>
        <w:rPr>
          <w:rFonts w:ascii="Arial" w:hAnsi="Arial" w:cs="Arial"/>
        </w:rPr>
      </w:pPr>
      <w:r>
        <w:rPr>
          <w:rFonts w:ascii="Arial" w:hAnsi="Arial" w:cs="Arial"/>
        </w:rPr>
        <w:t>The Commission shall have a minimum of three (3) meetings per calendar year. Time and location of the Commission and ad hoc committees shall be decided by the co-chairs in consultation with ADE/CTE staff. Committee meeting</w:t>
      </w:r>
      <w:r w:rsidR="00B67DF6">
        <w:rPr>
          <w:rFonts w:ascii="Arial" w:hAnsi="Arial" w:cs="Arial"/>
        </w:rPr>
        <w:t xml:space="preserve">s </w:t>
      </w:r>
      <w:r>
        <w:rPr>
          <w:rFonts w:ascii="Arial" w:hAnsi="Arial" w:cs="Arial"/>
        </w:rPr>
        <w:t xml:space="preserve">shall be called by the co-chairs or a majority of the Commission. </w:t>
      </w:r>
      <w:r w:rsidR="00B67DF6">
        <w:rPr>
          <w:rFonts w:ascii="Arial" w:hAnsi="Arial" w:cs="Arial"/>
        </w:rPr>
        <w:t xml:space="preserve">Ad hoc committees may be formed throughout the year, consisting of selected members of the Commission. </w:t>
      </w:r>
      <w:r w:rsidR="006340E1">
        <w:rPr>
          <w:rFonts w:ascii="Arial" w:hAnsi="Arial" w:cs="Arial"/>
        </w:rPr>
        <w:t xml:space="preserve">There </w:t>
      </w:r>
      <w:r w:rsidR="00436A63">
        <w:rPr>
          <w:rFonts w:ascii="Arial" w:hAnsi="Arial" w:cs="Arial"/>
        </w:rPr>
        <w:t xml:space="preserve"> shall be one annual meeting, which shall be the first meeting of a new school year. Electronic or telephonic presence at a meeting will be recognized a physically being present.</w:t>
      </w:r>
    </w:p>
    <w:p w14:paraId="3D65488B" w14:textId="77777777" w:rsidR="002F3A6F" w:rsidRDefault="002F3A6F" w:rsidP="00C71B5B">
      <w:pPr>
        <w:spacing w:after="0" w:line="240" w:lineRule="auto"/>
        <w:rPr>
          <w:rFonts w:ascii="Montserrat SemiBold" w:hAnsi="Montserrat SemiBold" w:cs="Arial"/>
          <w:sz w:val="24"/>
          <w:szCs w:val="24"/>
        </w:rPr>
      </w:pPr>
    </w:p>
    <w:p w14:paraId="6045DC1C" w14:textId="1B0F84C5" w:rsidR="00436A63" w:rsidRDefault="00436A63" w:rsidP="00C71B5B">
      <w:pPr>
        <w:spacing w:after="0" w:line="240" w:lineRule="auto"/>
        <w:rPr>
          <w:rFonts w:ascii="Montserrat SemiBold" w:hAnsi="Montserrat SemiBold" w:cs="Arial"/>
          <w:sz w:val="24"/>
          <w:szCs w:val="24"/>
        </w:rPr>
      </w:pPr>
      <w:r w:rsidRPr="006340E1">
        <w:rPr>
          <w:rFonts w:ascii="Montserrat SemiBold" w:hAnsi="Montserrat SemiBold" w:cs="Arial"/>
          <w:sz w:val="24"/>
          <w:szCs w:val="24"/>
        </w:rPr>
        <w:t>Written Notice</w:t>
      </w:r>
    </w:p>
    <w:p w14:paraId="7A00219D" w14:textId="77777777" w:rsidR="00C71B5B" w:rsidRPr="00C71B5B" w:rsidRDefault="00C71B5B" w:rsidP="00C71B5B">
      <w:pPr>
        <w:spacing w:after="0" w:line="240" w:lineRule="auto"/>
        <w:rPr>
          <w:rFonts w:ascii="Arial" w:hAnsi="Arial" w:cs="Arial"/>
          <w:sz w:val="12"/>
          <w:szCs w:val="12"/>
        </w:rPr>
      </w:pPr>
    </w:p>
    <w:p w14:paraId="7E6FACED" w14:textId="3E246C47" w:rsidR="003833D8" w:rsidRPr="003833D8" w:rsidRDefault="00436A63" w:rsidP="002F3A6F">
      <w:pPr>
        <w:rPr>
          <w:rFonts w:ascii="Arial" w:hAnsi="Arial" w:cs="Arial"/>
        </w:rPr>
      </w:pPr>
      <w:r>
        <w:rPr>
          <w:rFonts w:ascii="Arial" w:hAnsi="Arial" w:cs="Arial"/>
        </w:rPr>
        <w:lastRenderedPageBreak/>
        <w:t xml:space="preserve">ADE/CTE staff or designee, in consultation with the Commission co-chairs, </w:t>
      </w:r>
      <w:r w:rsidR="006340E1">
        <w:rPr>
          <w:rFonts w:ascii="Arial" w:hAnsi="Arial" w:cs="Arial"/>
        </w:rPr>
        <w:t>shall</w:t>
      </w:r>
      <w:r>
        <w:rPr>
          <w:rFonts w:ascii="Arial" w:hAnsi="Arial" w:cs="Arial"/>
        </w:rPr>
        <w:t xml:space="preserve"> issue written notice of date, time, and location of all meet</w:t>
      </w:r>
      <w:r w:rsidR="006340E1">
        <w:rPr>
          <w:rFonts w:ascii="Arial" w:hAnsi="Arial" w:cs="Arial"/>
        </w:rPr>
        <w:t>i</w:t>
      </w:r>
      <w:r>
        <w:rPr>
          <w:rFonts w:ascii="Arial" w:hAnsi="Arial" w:cs="Arial"/>
        </w:rPr>
        <w:t>ngs. A draft meeting agenda shall be included with this notice.</w:t>
      </w:r>
    </w:p>
    <w:sectPr w:rsidR="003833D8" w:rsidRPr="003833D8" w:rsidSect="00AA549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CAAF" w14:textId="77777777" w:rsidR="00230272" w:rsidRDefault="00230272" w:rsidP="00C71B5B">
      <w:pPr>
        <w:spacing w:after="0" w:line="240" w:lineRule="auto"/>
      </w:pPr>
      <w:r>
        <w:separator/>
      </w:r>
    </w:p>
  </w:endnote>
  <w:endnote w:type="continuationSeparator" w:id="0">
    <w:p w14:paraId="684847BE" w14:textId="77777777" w:rsidR="00230272" w:rsidRDefault="00230272" w:rsidP="00C7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altName w:val="Arial"/>
    <w:charset w:val="00"/>
    <w:family w:val="auto"/>
    <w:pitch w:val="variable"/>
    <w:sig w:usb0="E0000AFF" w:usb1="5000217F" w:usb2="00000021" w:usb3="00000000" w:csb0="0000019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9314" w14:textId="77777777" w:rsidR="0053541E" w:rsidRDefault="00535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0919" w14:textId="2E974FA7" w:rsidR="00C71B5B" w:rsidRPr="006A44FE" w:rsidRDefault="006A44FE" w:rsidP="003833D8">
    <w:pPr>
      <w:pStyle w:val="Footer"/>
      <w:pBdr>
        <w:top w:val="single" w:sz="4" w:space="1" w:color="auto"/>
      </w:pBdr>
      <w:jc w:val="center"/>
      <w:rPr>
        <w:sz w:val="18"/>
        <w:szCs w:val="18"/>
      </w:rPr>
    </w:pPr>
    <w:r w:rsidRPr="006A44FE">
      <w:rPr>
        <w:sz w:val="18"/>
        <w:szCs w:val="18"/>
      </w:rPr>
      <w:t>Arizona Career and Technical Education Quality Commission Organizational and Operational Guidelines, July 202</w:t>
    </w:r>
    <w:r w:rsidR="0053541E">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097C" w14:textId="77777777" w:rsidR="0053541E" w:rsidRDefault="0053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32FC" w14:textId="77777777" w:rsidR="00230272" w:rsidRDefault="00230272" w:rsidP="00C71B5B">
      <w:pPr>
        <w:spacing w:after="0" w:line="240" w:lineRule="auto"/>
      </w:pPr>
      <w:r>
        <w:separator/>
      </w:r>
    </w:p>
  </w:footnote>
  <w:footnote w:type="continuationSeparator" w:id="0">
    <w:p w14:paraId="38FEA1D7" w14:textId="77777777" w:rsidR="00230272" w:rsidRDefault="00230272" w:rsidP="00C7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2B6D" w14:textId="77777777" w:rsidR="0053541E" w:rsidRDefault="00535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3F4" w14:textId="77777777" w:rsidR="0053541E" w:rsidRDefault="00535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9902" w14:textId="77777777" w:rsidR="0053541E" w:rsidRDefault="00535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7B1"/>
    <w:multiLevelType w:val="hybridMultilevel"/>
    <w:tmpl w:val="EC82B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2031D2"/>
    <w:multiLevelType w:val="hybridMultilevel"/>
    <w:tmpl w:val="FBBE301C"/>
    <w:lvl w:ilvl="0" w:tplc="04090001">
      <w:start w:val="1"/>
      <w:numFmt w:val="bullet"/>
      <w:lvlText w:val=""/>
      <w:lvlJc w:val="left"/>
      <w:pPr>
        <w:ind w:left="1885" w:hanging="360"/>
      </w:pPr>
      <w:rPr>
        <w:rFonts w:ascii="Symbol" w:hAnsi="Symbol" w:hint="default"/>
      </w:rPr>
    </w:lvl>
    <w:lvl w:ilvl="1" w:tplc="04090003" w:tentative="1">
      <w:start w:val="1"/>
      <w:numFmt w:val="bullet"/>
      <w:lvlText w:val="o"/>
      <w:lvlJc w:val="left"/>
      <w:pPr>
        <w:ind w:left="2605" w:hanging="360"/>
      </w:pPr>
      <w:rPr>
        <w:rFonts w:ascii="Courier New" w:hAnsi="Courier New" w:cs="Courier New" w:hint="default"/>
      </w:rPr>
    </w:lvl>
    <w:lvl w:ilvl="2" w:tplc="04090005" w:tentative="1">
      <w:start w:val="1"/>
      <w:numFmt w:val="bullet"/>
      <w:lvlText w:val=""/>
      <w:lvlJc w:val="left"/>
      <w:pPr>
        <w:ind w:left="3325" w:hanging="360"/>
      </w:pPr>
      <w:rPr>
        <w:rFonts w:ascii="Wingdings" w:hAnsi="Wingdings" w:hint="default"/>
      </w:rPr>
    </w:lvl>
    <w:lvl w:ilvl="3" w:tplc="04090001" w:tentative="1">
      <w:start w:val="1"/>
      <w:numFmt w:val="bullet"/>
      <w:lvlText w:val=""/>
      <w:lvlJc w:val="left"/>
      <w:pPr>
        <w:ind w:left="4045" w:hanging="360"/>
      </w:pPr>
      <w:rPr>
        <w:rFonts w:ascii="Symbol" w:hAnsi="Symbol" w:hint="default"/>
      </w:rPr>
    </w:lvl>
    <w:lvl w:ilvl="4" w:tplc="04090003" w:tentative="1">
      <w:start w:val="1"/>
      <w:numFmt w:val="bullet"/>
      <w:lvlText w:val="o"/>
      <w:lvlJc w:val="left"/>
      <w:pPr>
        <w:ind w:left="4765" w:hanging="360"/>
      </w:pPr>
      <w:rPr>
        <w:rFonts w:ascii="Courier New" w:hAnsi="Courier New" w:cs="Courier New" w:hint="default"/>
      </w:rPr>
    </w:lvl>
    <w:lvl w:ilvl="5" w:tplc="04090005" w:tentative="1">
      <w:start w:val="1"/>
      <w:numFmt w:val="bullet"/>
      <w:lvlText w:val=""/>
      <w:lvlJc w:val="left"/>
      <w:pPr>
        <w:ind w:left="5485" w:hanging="360"/>
      </w:pPr>
      <w:rPr>
        <w:rFonts w:ascii="Wingdings" w:hAnsi="Wingdings" w:hint="default"/>
      </w:rPr>
    </w:lvl>
    <w:lvl w:ilvl="6" w:tplc="04090001" w:tentative="1">
      <w:start w:val="1"/>
      <w:numFmt w:val="bullet"/>
      <w:lvlText w:val=""/>
      <w:lvlJc w:val="left"/>
      <w:pPr>
        <w:ind w:left="6205" w:hanging="360"/>
      </w:pPr>
      <w:rPr>
        <w:rFonts w:ascii="Symbol" w:hAnsi="Symbol" w:hint="default"/>
      </w:rPr>
    </w:lvl>
    <w:lvl w:ilvl="7" w:tplc="04090003" w:tentative="1">
      <w:start w:val="1"/>
      <w:numFmt w:val="bullet"/>
      <w:lvlText w:val="o"/>
      <w:lvlJc w:val="left"/>
      <w:pPr>
        <w:ind w:left="6925" w:hanging="360"/>
      </w:pPr>
      <w:rPr>
        <w:rFonts w:ascii="Courier New" w:hAnsi="Courier New" w:cs="Courier New" w:hint="default"/>
      </w:rPr>
    </w:lvl>
    <w:lvl w:ilvl="8" w:tplc="04090005" w:tentative="1">
      <w:start w:val="1"/>
      <w:numFmt w:val="bullet"/>
      <w:lvlText w:val=""/>
      <w:lvlJc w:val="left"/>
      <w:pPr>
        <w:ind w:left="7645" w:hanging="360"/>
      </w:pPr>
      <w:rPr>
        <w:rFonts w:ascii="Wingdings" w:hAnsi="Wingdings" w:hint="default"/>
      </w:rPr>
    </w:lvl>
  </w:abstractNum>
  <w:abstractNum w:abstractNumId="2" w15:restartNumberingAfterBreak="0">
    <w:nsid w:val="3EA74066"/>
    <w:multiLevelType w:val="hybridMultilevel"/>
    <w:tmpl w:val="84B8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2670C"/>
    <w:multiLevelType w:val="hybridMultilevel"/>
    <w:tmpl w:val="F5E6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047FF"/>
    <w:multiLevelType w:val="hybridMultilevel"/>
    <w:tmpl w:val="A68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11170"/>
    <w:multiLevelType w:val="hybridMultilevel"/>
    <w:tmpl w:val="F5205912"/>
    <w:lvl w:ilvl="0" w:tplc="0409000F">
      <w:start w:val="1"/>
      <w:numFmt w:val="decimal"/>
      <w:lvlText w:val="%1."/>
      <w:lvlJc w:val="left"/>
      <w:pPr>
        <w:ind w:left="3240" w:hanging="360"/>
      </w:pPr>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 w15:restartNumberingAfterBreak="0">
    <w:nsid w:val="63B443C0"/>
    <w:multiLevelType w:val="hybridMultilevel"/>
    <w:tmpl w:val="C18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B527A"/>
    <w:multiLevelType w:val="hybridMultilevel"/>
    <w:tmpl w:val="901605A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16cid:durableId="431097633">
    <w:abstractNumId w:val="2"/>
  </w:num>
  <w:num w:numId="2" w16cid:durableId="1394623184">
    <w:abstractNumId w:val="3"/>
  </w:num>
  <w:num w:numId="3" w16cid:durableId="1235429802">
    <w:abstractNumId w:val="1"/>
  </w:num>
  <w:num w:numId="4" w16cid:durableId="998770623">
    <w:abstractNumId w:val="6"/>
  </w:num>
  <w:num w:numId="5" w16cid:durableId="371151833">
    <w:abstractNumId w:val="5"/>
  </w:num>
  <w:num w:numId="6" w16cid:durableId="1943494128">
    <w:abstractNumId w:val="7"/>
  </w:num>
  <w:num w:numId="7" w16cid:durableId="1281258492">
    <w:abstractNumId w:val="4"/>
  </w:num>
  <w:num w:numId="8" w16cid:durableId="174129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97"/>
    <w:rsid w:val="000451DE"/>
    <w:rsid w:val="00052F18"/>
    <w:rsid w:val="000C6014"/>
    <w:rsid w:val="00122F36"/>
    <w:rsid w:val="00185404"/>
    <w:rsid w:val="00187EE0"/>
    <w:rsid w:val="00230272"/>
    <w:rsid w:val="00237B0E"/>
    <w:rsid w:val="002E546B"/>
    <w:rsid w:val="002F3A6F"/>
    <w:rsid w:val="003702A9"/>
    <w:rsid w:val="003833D8"/>
    <w:rsid w:val="00387157"/>
    <w:rsid w:val="003D4715"/>
    <w:rsid w:val="00436A63"/>
    <w:rsid w:val="00462BA3"/>
    <w:rsid w:val="00491D14"/>
    <w:rsid w:val="00520FC0"/>
    <w:rsid w:val="00521FA0"/>
    <w:rsid w:val="0053541E"/>
    <w:rsid w:val="005C37F6"/>
    <w:rsid w:val="005E33DD"/>
    <w:rsid w:val="00626593"/>
    <w:rsid w:val="006340E1"/>
    <w:rsid w:val="006654A6"/>
    <w:rsid w:val="006A44FE"/>
    <w:rsid w:val="006F4575"/>
    <w:rsid w:val="00706BA0"/>
    <w:rsid w:val="00787034"/>
    <w:rsid w:val="007D5EA9"/>
    <w:rsid w:val="00842DBF"/>
    <w:rsid w:val="008A523E"/>
    <w:rsid w:val="008C6A8E"/>
    <w:rsid w:val="0092120F"/>
    <w:rsid w:val="00A17212"/>
    <w:rsid w:val="00A7638D"/>
    <w:rsid w:val="00A97C8A"/>
    <w:rsid w:val="00AA549B"/>
    <w:rsid w:val="00AB3497"/>
    <w:rsid w:val="00AC175B"/>
    <w:rsid w:val="00B37832"/>
    <w:rsid w:val="00B44A16"/>
    <w:rsid w:val="00B47DD7"/>
    <w:rsid w:val="00B67DF6"/>
    <w:rsid w:val="00C54E47"/>
    <w:rsid w:val="00C67E58"/>
    <w:rsid w:val="00C71B5B"/>
    <w:rsid w:val="00CA3E50"/>
    <w:rsid w:val="00CB48B7"/>
    <w:rsid w:val="00CF7D6C"/>
    <w:rsid w:val="00D176A8"/>
    <w:rsid w:val="00DA23A0"/>
    <w:rsid w:val="00DD52EE"/>
    <w:rsid w:val="00E06366"/>
    <w:rsid w:val="00E10231"/>
    <w:rsid w:val="00E61071"/>
    <w:rsid w:val="00E776D0"/>
    <w:rsid w:val="00ED4513"/>
    <w:rsid w:val="00EE611C"/>
    <w:rsid w:val="00F50295"/>
    <w:rsid w:val="00F7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94FB"/>
  <w15:chartTrackingRefBased/>
  <w15:docId w15:val="{0BC04B4E-F224-4DF3-BAD9-9F03B440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93"/>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BF"/>
    <w:pPr>
      <w:ind w:left="720"/>
      <w:contextualSpacing/>
    </w:pPr>
  </w:style>
  <w:style w:type="paragraph" w:styleId="Header">
    <w:name w:val="header"/>
    <w:basedOn w:val="Normal"/>
    <w:link w:val="HeaderChar"/>
    <w:uiPriority w:val="99"/>
    <w:unhideWhenUsed/>
    <w:rsid w:val="00C7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5B"/>
    <w:rPr>
      <w:rFonts w:ascii="Calibri" w:eastAsia="Calibri" w:hAnsi="Calibri" w:cs="Times New Roman"/>
      <w:kern w:val="0"/>
      <w14:ligatures w14:val="none"/>
    </w:rPr>
  </w:style>
  <w:style w:type="paragraph" w:styleId="Footer">
    <w:name w:val="footer"/>
    <w:basedOn w:val="Normal"/>
    <w:link w:val="FooterChar"/>
    <w:uiPriority w:val="99"/>
    <w:unhideWhenUsed/>
    <w:rsid w:val="00C7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5B"/>
    <w:rPr>
      <w:rFonts w:ascii="Calibri" w:eastAsia="Calibri" w:hAnsi="Calibri" w:cs="Times New Roman"/>
      <w:kern w:val="0"/>
      <w14:ligatures w14:val="none"/>
    </w:rPr>
  </w:style>
  <w:style w:type="character" w:styleId="Emphasis">
    <w:name w:val="Emphasis"/>
    <w:basedOn w:val="DefaultParagraphFont"/>
    <w:uiPriority w:val="20"/>
    <w:qFormat/>
    <w:rsid w:val="00E776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Balogh</dc:creator>
  <cp:keywords/>
  <dc:description/>
  <cp:lastModifiedBy>Imes, Kevin</cp:lastModifiedBy>
  <cp:revision>2</cp:revision>
  <cp:lastPrinted>2023-07-11T01:03:00Z</cp:lastPrinted>
  <dcterms:created xsi:type="dcterms:W3CDTF">2023-10-10T16:53:00Z</dcterms:created>
  <dcterms:modified xsi:type="dcterms:W3CDTF">2023-10-10T16:53:00Z</dcterms:modified>
</cp:coreProperties>
</file>