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AAF3" w14:textId="6E5AE2F1" w:rsidR="001545B2" w:rsidRPr="00BE4E9F" w:rsidRDefault="00B12A36" w:rsidP="001545B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E4E9F">
        <w:rPr>
          <w:rFonts w:ascii="Arial" w:hAnsi="Arial" w:cs="Arial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BE9B78" wp14:editId="2EC7EB94">
            <wp:simplePos x="0" y="0"/>
            <wp:positionH relativeFrom="margin">
              <wp:posOffset>8105775</wp:posOffset>
            </wp:positionH>
            <wp:positionV relativeFrom="paragraph">
              <wp:posOffset>-188595</wp:posOffset>
            </wp:positionV>
            <wp:extent cx="895350" cy="895350"/>
            <wp:effectExtent l="0" t="0" r="0" b="0"/>
            <wp:wrapNone/>
            <wp:docPr id="13" name="Picture 13" descr="P1C1T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fficial ADE Seal R1019_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8C7" w:rsidRPr="00BE4E9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D5F2A2" wp14:editId="3AA77BEF">
                <wp:simplePos x="0" y="0"/>
                <wp:positionH relativeFrom="margin">
                  <wp:align>left</wp:align>
                </wp:positionH>
                <wp:positionV relativeFrom="paragraph">
                  <wp:posOffset>231</wp:posOffset>
                </wp:positionV>
                <wp:extent cx="9115425" cy="357505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35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A1DA" w14:textId="62C8FD4B" w:rsidR="00455401" w:rsidRPr="00BE4E9F" w:rsidRDefault="00455401" w:rsidP="004554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4E9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ARIZONA </w:t>
                            </w:r>
                            <w:r w:rsidR="00844771" w:rsidRPr="00F41ED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CTE</w:t>
                            </w:r>
                            <w:r w:rsidR="00844771" w:rsidRPr="00BE4E9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4E9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5F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7.75pt;height:28.1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" stroked="f">
                <v:textbox>
                  <w:txbxContent>
                    <w:p w14:paraId="31A6A1DA" w14:textId="62C8FD4B" w:rsidR="00455401" w:rsidRPr="00BE4E9F" w:rsidRDefault="00455401" w:rsidP="0045540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E4E9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ARIZONA </w:t>
                      </w:r>
                      <w:r w:rsidR="00844771" w:rsidRPr="00F41ED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CTE</w:t>
                      </w:r>
                      <w:r w:rsidR="00844771" w:rsidRPr="00BE4E9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E4E9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PROFESSIONAL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5B2" w:rsidRPr="00BE4E9F">
        <w:rPr>
          <w:rFonts w:ascii="Arial" w:hAnsi="Arial" w:cs="Arial"/>
          <w:b/>
          <w:bCs/>
          <w:sz w:val="28"/>
          <w:szCs w:val="28"/>
          <w:u w:val="single"/>
        </w:rPr>
        <w:t xml:space="preserve">STANDARD </w:t>
      </w:r>
      <w:r w:rsidR="00E327F8" w:rsidRPr="00BE4E9F"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="001545B2" w:rsidRPr="00BE4E9F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133416" w:rsidRPr="00BE4E9F">
        <w:rPr>
          <w:rFonts w:ascii="Arial" w:hAnsi="Arial" w:cs="Arial"/>
          <w:b/>
          <w:bCs/>
          <w:sz w:val="28"/>
          <w:szCs w:val="28"/>
          <w:u w:val="single"/>
        </w:rPr>
        <w:t>INTERGENERATIONAL AND CROSS-CULTURAL COMPETENCE</w:t>
      </w:r>
    </w:p>
    <w:p w14:paraId="2AFE0957" w14:textId="49CBAC23" w:rsidR="001545B2" w:rsidRPr="00BE4E9F" w:rsidRDefault="0098527A" w:rsidP="007218C7">
      <w:pPr>
        <w:spacing w:after="0"/>
        <w:rPr>
          <w:rFonts w:ascii="Arial" w:hAnsi="Arial" w:cs="Arial"/>
        </w:rPr>
      </w:pPr>
      <w:r w:rsidRPr="00BE4E9F">
        <w:rPr>
          <w:rFonts w:ascii="Arial" w:hAnsi="Arial" w:cs="Arial"/>
        </w:rPr>
        <w:t xml:space="preserve">The </w:t>
      </w:r>
      <w:r w:rsidR="00844771" w:rsidRPr="00F41ED5">
        <w:rPr>
          <w:rFonts w:ascii="Arial" w:hAnsi="Arial" w:cs="Arial"/>
        </w:rPr>
        <w:t xml:space="preserve">AZ CTE </w:t>
      </w:r>
      <w:r w:rsidRPr="00F41ED5">
        <w:rPr>
          <w:rFonts w:ascii="Arial" w:hAnsi="Arial" w:cs="Arial"/>
        </w:rPr>
        <w:t>Professional Skills should be used in tandem with the technical standards. The Core Actions are descriptions of the Measurement Criteria. High School</w:t>
      </w:r>
      <w:r w:rsidRPr="00BE4E9F">
        <w:rPr>
          <w:rFonts w:ascii="Arial" w:hAnsi="Arial" w:cs="Arial"/>
        </w:rPr>
        <w:t xml:space="preserve"> students should strive to meet the Level One-Novice descriptions.  Level Two through Level Four offer teachers and students the accomplishments to be obtained beyond the Novice level. </w:t>
      </w:r>
      <w:r w:rsidR="00D96881">
        <w:rPr>
          <w:rFonts w:ascii="Arial" w:hAnsi="Arial" w:cs="Arial"/>
        </w:rPr>
        <w:t>This standard aims</w:t>
      </w:r>
      <w:r w:rsidRPr="00BE4E9F">
        <w:rPr>
          <w:rFonts w:ascii="Arial" w:hAnsi="Arial" w:cs="Arial"/>
        </w:rPr>
        <w:t xml:space="preserve"> to enable the individual to interact effectively with different cultures and generations to achieve organizational missions, goals, and objectives.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86"/>
        <w:gridCol w:w="2526"/>
        <w:gridCol w:w="523"/>
        <w:gridCol w:w="2958"/>
        <w:gridCol w:w="1866"/>
        <w:gridCol w:w="1895"/>
        <w:gridCol w:w="2162"/>
        <w:gridCol w:w="1856"/>
      </w:tblGrid>
      <w:tr w:rsidR="00BC1873" w:rsidRPr="00BE4E9F" w14:paraId="47335B7A" w14:textId="77777777" w:rsidTr="00825A67">
        <w:tc>
          <w:tcPr>
            <w:tcW w:w="3134" w:type="dxa"/>
            <w:gridSpan w:val="3"/>
            <w:tcBorders>
              <w:top w:val="single" w:sz="48" w:space="0" w:color="BF0D3E"/>
              <w:left w:val="single" w:sz="2" w:space="0" w:color="BF0D3E"/>
              <w:bottom w:val="single" w:sz="48" w:space="0" w:color="BF0D3E"/>
              <w:right w:val="single" w:sz="2" w:space="0" w:color="BF0D3E"/>
            </w:tcBorders>
            <w:shd w:val="clear" w:color="auto" w:fill="C9C9C9" w:themeFill="accent3" w:themeFillTint="99"/>
          </w:tcPr>
          <w:p w14:paraId="05B31B46" w14:textId="36C766CF" w:rsidR="004C75EC" w:rsidRPr="00BE4E9F" w:rsidRDefault="004C75EC" w:rsidP="00C91847">
            <w:pPr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Preliminary Checklist</w:t>
            </w:r>
          </w:p>
        </w:tc>
        <w:tc>
          <w:tcPr>
            <w:tcW w:w="3481" w:type="dxa"/>
            <w:gridSpan w:val="2"/>
            <w:tcBorders>
              <w:top w:val="single" w:sz="48" w:space="0" w:color="BF0D3E"/>
              <w:left w:val="single" w:sz="2" w:space="0" w:color="BF0D3E"/>
              <w:bottom w:val="single" w:sz="48" w:space="0" w:color="BF0D3E"/>
              <w:right w:val="single" w:sz="2" w:space="0" w:color="BF0D3E"/>
            </w:tcBorders>
            <w:shd w:val="clear" w:color="auto" w:fill="EDEDED" w:themeFill="accent3" w:themeFillTint="33"/>
          </w:tcPr>
          <w:p w14:paraId="432A09B9" w14:textId="028AE71A" w:rsidR="004C75EC" w:rsidRPr="00BE4E9F" w:rsidRDefault="004C75EC" w:rsidP="00C91847">
            <w:pPr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 xml:space="preserve">Awareness of: </w:t>
            </w:r>
          </w:p>
        </w:tc>
        <w:tc>
          <w:tcPr>
            <w:tcW w:w="1866" w:type="dxa"/>
            <w:tcBorders>
              <w:top w:val="single" w:sz="48" w:space="0" w:color="BF0D3E"/>
              <w:left w:val="single" w:sz="2" w:space="0" w:color="BF0D3E"/>
              <w:bottom w:val="single" w:sz="48" w:space="0" w:color="BF0D3E"/>
              <w:right w:val="single" w:sz="2" w:space="0" w:color="BF0D3E"/>
            </w:tcBorders>
          </w:tcPr>
          <w:p w14:paraId="3EC3C803" w14:textId="5E45B65A" w:rsidR="004C75EC" w:rsidRPr="00BE4E9F" w:rsidRDefault="004C75EC" w:rsidP="00C91847">
            <w:pPr>
              <w:rPr>
                <w:rFonts w:ascii="Arial" w:hAnsi="Arial" w:cs="Arial"/>
                <w:sz w:val="18"/>
                <w:szCs w:val="18"/>
              </w:rPr>
            </w:pPr>
            <w:r w:rsidRPr="00BE4E9F">
              <w:rPr>
                <w:rFonts w:ascii="Arial" w:hAnsi="Arial" w:cs="Arial"/>
                <w:sz w:val="18"/>
                <w:szCs w:val="18"/>
              </w:rPr>
              <w:t xml:space="preserve">Characteristics, values, beliefs, </w:t>
            </w:r>
            <w:r w:rsidR="00F41ED5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E4E9F">
              <w:rPr>
                <w:rFonts w:ascii="Arial" w:hAnsi="Arial" w:cs="Arial"/>
                <w:sz w:val="18"/>
                <w:szCs w:val="18"/>
              </w:rPr>
              <w:t xml:space="preserve">behaviors of </w:t>
            </w:r>
            <w:r w:rsidR="00C760A7" w:rsidRPr="00BE4E9F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F41ED5">
              <w:rPr>
                <w:rFonts w:ascii="Arial" w:hAnsi="Arial" w:cs="Arial"/>
                <w:sz w:val="18"/>
                <w:szCs w:val="18"/>
              </w:rPr>
              <w:t>cultures</w:t>
            </w:r>
            <w:r w:rsidR="00C760A7" w:rsidRPr="00F41ED5">
              <w:rPr>
                <w:rFonts w:ascii="Arial" w:hAnsi="Arial" w:cs="Arial"/>
                <w:sz w:val="18"/>
                <w:szCs w:val="18"/>
              </w:rPr>
              <w:t xml:space="preserve">, generations, </w:t>
            </w:r>
            <w:r w:rsidR="007C3542" w:rsidRPr="00F41ED5">
              <w:rPr>
                <w:rFonts w:ascii="Arial" w:hAnsi="Arial" w:cs="Arial"/>
                <w:sz w:val="18"/>
                <w:szCs w:val="18"/>
              </w:rPr>
              <w:t>and individuals with disabilities</w:t>
            </w:r>
            <w:r w:rsidR="00C760A7" w:rsidRPr="00F41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ED5">
              <w:rPr>
                <w:rFonts w:ascii="Arial" w:hAnsi="Arial" w:cs="Arial"/>
                <w:sz w:val="18"/>
                <w:szCs w:val="18"/>
              </w:rPr>
              <w:t>in</w:t>
            </w:r>
            <w:r w:rsidRPr="00BE4E9F">
              <w:rPr>
                <w:rFonts w:ascii="Arial" w:hAnsi="Arial" w:cs="Arial"/>
                <w:sz w:val="18"/>
                <w:szCs w:val="18"/>
              </w:rPr>
              <w:t xml:space="preserve"> the workplace, local and global.</w:t>
            </w:r>
          </w:p>
        </w:tc>
        <w:tc>
          <w:tcPr>
            <w:tcW w:w="1895" w:type="dxa"/>
            <w:tcBorders>
              <w:top w:val="single" w:sz="48" w:space="0" w:color="BF0D3E"/>
              <w:left w:val="single" w:sz="2" w:space="0" w:color="BF0D3E"/>
              <w:bottom w:val="single" w:sz="48" w:space="0" w:color="BF0D3E"/>
              <w:right w:val="single" w:sz="2" w:space="0" w:color="BF0D3E"/>
            </w:tcBorders>
          </w:tcPr>
          <w:p w14:paraId="77DCF1B4" w14:textId="77777777" w:rsidR="004C75EC" w:rsidRPr="00BE4E9F" w:rsidRDefault="004C75EC" w:rsidP="00C91847">
            <w:pPr>
              <w:rPr>
                <w:rFonts w:ascii="Arial" w:hAnsi="Arial" w:cs="Arial"/>
                <w:sz w:val="18"/>
                <w:szCs w:val="18"/>
              </w:rPr>
            </w:pPr>
            <w:r w:rsidRPr="00BE4E9F">
              <w:rPr>
                <w:rFonts w:ascii="Arial" w:hAnsi="Arial" w:cs="Arial"/>
                <w:sz w:val="18"/>
                <w:szCs w:val="18"/>
              </w:rPr>
              <w:t>Customs, social etiquette, and language, e.g. greetings, tone of voice, personal space, body language, eye contact, gestures</w:t>
            </w:r>
          </w:p>
        </w:tc>
        <w:tc>
          <w:tcPr>
            <w:tcW w:w="2162" w:type="dxa"/>
            <w:tcBorders>
              <w:top w:val="single" w:sz="48" w:space="0" w:color="BF0D3E"/>
              <w:left w:val="single" w:sz="2" w:space="0" w:color="BF0D3E"/>
              <w:bottom w:val="single" w:sz="48" w:space="0" w:color="BF0D3E"/>
              <w:right w:val="single" w:sz="2" w:space="0" w:color="BF0D3E"/>
            </w:tcBorders>
          </w:tcPr>
          <w:p w14:paraId="723185B1" w14:textId="019A6337" w:rsidR="004C75EC" w:rsidRPr="00BE4E9F" w:rsidRDefault="004C75EC" w:rsidP="00C91847">
            <w:pPr>
              <w:rPr>
                <w:rFonts w:ascii="Arial" w:hAnsi="Arial" w:cs="Arial"/>
                <w:sz w:val="18"/>
                <w:szCs w:val="18"/>
              </w:rPr>
            </w:pPr>
            <w:r w:rsidRPr="00BE4E9F">
              <w:rPr>
                <w:rFonts w:ascii="Arial" w:hAnsi="Arial" w:cs="Arial"/>
                <w:sz w:val="18"/>
                <w:szCs w:val="18"/>
              </w:rPr>
              <w:t xml:space="preserve">Potential </w:t>
            </w:r>
            <w:r w:rsidR="007C3542" w:rsidRPr="00F41ED5">
              <w:rPr>
                <w:rFonts w:ascii="Arial" w:hAnsi="Arial" w:cs="Arial"/>
                <w:sz w:val="18"/>
                <w:szCs w:val="18"/>
              </w:rPr>
              <w:t>conflicts</w:t>
            </w:r>
            <w:r w:rsidR="00870774" w:rsidRPr="00F41E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ED5">
              <w:rPr>
                <w:rFonts w:ascii="Arial" w:hAnsi="Arial" w:cs="Arial"/>
                <w:sz w:val="18"/>
                <w:szCs w:val="18"/>
              </w:rPr>
              <w:t xml:space="preserve">due to </w:t>
            </w:r>
            <w:r w:rsidR="004A0BD7" w:rsidRPr="00F41ED5">
              <w:rPr>
                <w:rFonts w:ascii="Arial" w:hAnsi="Arial" w:cs="Arial"/>
                <w:sz w:val="18"/>
                <w:szCs w:val="18"/>
              </w:rPr>
              <w:t xml:space="preserve">diverse </w:t>
            </w:r>
            <w:r w:rsidR="00870774" w:rsidRPr="00F41ED5">
              <w:rPr>
                <w:rFonts w:ascii="Arial" w:hAnsi="Arial" w:cs="Arial"/>
                <w:sz w:val="18"/>
                <w:szCs w:val="18"/>
              </w:rPr>
              <w:t xml:space="preserve">interactions </w:t>
            </w:r>
            <w:r w:rsidRPr="00F41ED5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EB481C" w:rsidRPr="00F41ED5">
              <w:rPr>
                <w:rFonts w:ascii="Arial" w:hAnsi="Arial" w:cs="Arial"/>
                <w:sz w:val="18"/>
                <w:szCs w:val="18"/>
              </w:rPr>
              <w:t xml:space="preserve">the ability to </w:t>
            </w:r>
            <w:r w:rsidRPr="00F41ED5">
              <w:rPr>
                <w:rFonts w:ascii="Arial" w:hAnsi="Arial" w:cs="Arial"/>
                <w:sz w:val="18"/>
                <w:szCs w:val="18"/>
              </w:rPr>
              <w:t>work together</w:t>
            </w:r>
          </w:p>
        </w:tc>
        <w:tc>
          <w:tcPr>
            <w:tcW w:w="1856" w:type="dxa"/>
            <w:tcBorders>
              <w:top w:val="single" w:sz="48" w:space="0" w:color="BF0D3E"/>
              <w:left w:val="single" w:sz="2" w:space="0" w:color="BF0D3E"/>
              <w:bottom w:val="single" w:sz="48" w:space="0" w:color="BF0D3E"/>
              <w:right w:val="single" w:sz="2" w:space="0" w:color="BF0D3E"/>
            </w:tcBorders>
          </w:tcPr>
          <w:p w14:paraId="70E2C884" w14:textId="77777777" w:rsidR="004C75EC" w:rsidRPr="00BE4E9F" w:rsidRDefault="004C75EC" w:rsidP="00C918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682" w:rsidRPr="00BE4E9F" w14:paraId="0F49D363" w14:textId="77777777" w:rsidTr="009A113D">
        <w:tc>
          <w:tcPr>
            <w:tcW w:w="3134" w:type="dxa"/>
            <w:gridSpan w:val="3"/>
            <w:tcBorders>
              <w:top w:val="single" w:sz="48" w:space="0" w:color="BF0D3E"/>
              <w:bottom w:val="single" w:sz="48" w:space="0" w:color="012169"/>
            </w:tcBorders>
            <w:shd w:val="clear" w:color="auto" w:fill="B4C6E7" w:themeFill="accent1" w:themeFillTint="66"/>
          </w:tcPr>
          <w:p w14:paraId="101B5236" w14:textId="2EFBD86F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 Criteria</w:t>
            </w:r>
          </w:p>
        </w:tc>
        <w:tc>
          <w:tcPr>
            <w:tcW w:w="3481" w:type="dxa"/>
            <w:gridSpan w:val="2"/>
            <w:tcBorders>
              <w:top w:val="single" w:sz="48" w:space="0" w:color="BF0D3E"/>
              <w:bottom w:val="single" w:sz="48" w:space="0" w:color="012169"/>
            </w:tcBorders>
            <w:shd w:val="clear" w:color="auto" w:fill="B4C6E7" w:themeFill="accent1" w:themeFillTint="66"/>
          </w:tcPr>
          <w:p w14:paraId="032DA728" w14:textId="49D7F820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Core Actions</w:t>
            </w:r>
          </w:p>
        </w:tc>
        <w:tc>
          <w:tcPr>
            <w:tcW w:w="1866" w:type="dxa"/>
            <w:tcBorders>
              <w:top w:val="single" w:sz="48" w:space="0" w:color="BF0D3E"/>
              <w:bottom w:val="single" w:sz="48" w:space="0" w:color="012169"/>
            </w:tcBorders>
            <w:shd w:val="clear" w:color="auto" w:fill="B4C6E7" w:themeFill="accent1" w:themeFillTint="66"/>
          </w:tcPr>
          <w:p w14:paraId="56B1D365" w14:textId="79517491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Level One</w:t>
            </w:r>
          </w:p>
          <w:p w14:paraId="09724C3A" w14:textId="3432BA4F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Novice</w:t>
            </w:r>
          </w:p>
        </w:tc>
        <w:tc>
          <w:tcPr>
            <w:tcW w:w="1895" w:type="dxa"/>
            <w:tcBorders>
              <w:top w:val="single" w:sz="48" w:space="0" w:color="BF0D3E"/>
              <w:bottom w:val="single" w:sz="48" w:space="0" w:color="012169"/>
            </w:tcBorders>
            <w:shd w:val="clear" w:color="auto" w:fill="B4C6E7" w:themeFill="accent1" w:themeFillTint="66"/>
          </w:tcPr>
          <w:p w14:paraId="2C6A6197" w14:textId="77777777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Level Two</w:t>
            </w:r>
          </w:p>
          <w:p w14:paraId="00E30460" w14:textId="48E32569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Approaching Proficiency</w:t>
            </w:r>
          </w:p>
        </w:tc>
        <w:tc>
          <w:tcPr>
            <w:tcW w:w="2162" w:type="dxa"/>
            <w:tcBorders>
              <w:top w:val="single" w:sz="48" w:space="0" w:color="BF0D3E"/>
              <w:bottom w:val="single" w:sz="48" w:space="0" w:color="012169"/>
            </w:tcBorders>
            <w:shd w:val="clear" w:color="auto" w:fill="B4C6E7" w:themeFill="accent1" w:themeFillTint="66"/>
          </w:tcPr>
          <w:p w14:paraId="67230C91" w14:textId="77777777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Level Three</w:t>
            </w:r>
          </w:p>
          <w:p w14:paraId="202B7CEE" w14:textId="3EA205BC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Proficient</w:t>
            </w:r>
          </w:p>
        </w:tc>
        <w:tc>
          <w:tcPr>
            <w:tcW w:w="1856" w:type="dxa"/>
            <w:tcBorders>
              <w:top w:val="single" w:sz="48" w:space="0" w:color="BF0D3E"/>
              <w:bottom w:val="single" w:sz="48" w:space="0" w:color="012169"/>
            </w:tcBorders>
            <w:shd w:val="clear" w:color="auto" w:fill="B4C6E7" w:themeFill="accent1" w:themeFillTint="66"/>
          </w:tcPr>
          <w:p w14:paraId="4F2A0A94" w14:textId="77777777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Level Four</w:t>
            </w:r>
          </w:p>
          <w:p w14:paraId="3F648B89" w14:textId="52759F7A" w:rsidR="00741682" w:rsidRPr="00BE4E9F" w:rsidRDefault="00741682" w:rsidP="00741682">
            <w:pPr>
              <w:jc w:val="center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Expert/Leader</w:t>
            </w:r>
          </w:p>
        </w:tc>
      </w:tr>
      <w:tr w:rsidR="00741682" w:rsidRPr="00BE4E9F" w14:paraId="636A6FA6" w14:textId="77777777" w:rsidTr="008D3E7C">
        <w:trPr>
          <w:trHeight w:val="388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20D06871" w14:textId="7C80FE43" w:rsidR="00741682" w:rsidRPr="00BE4E9F" w:rsidRDefault="00741682" w:rsidP="00741682">
            <w:pPr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1.0</w:t>
            </w:r>
          </w:p>
        </w:tc>
        <w:tc>
          <w:tcPr>
            <w:tcW w:w="261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5B545C23" w14:textId="5F24E011" w:rsidR="00741682" w:rsidRPr="00BE4E9F" w:rsidRDefault="00741682" w:rsidP="00741682">
            <w:pPr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Uses relevant communication techniques to create cultural synergy in the workplace.</w:t>
            </w:r>
          </w:p>
          <w:p w14:paraId="62ACED6A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3184B9BF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01F2E645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525BAB5C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575051EE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7846C77A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43CAEC14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6992133A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10E87EC5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  <w:p w14:paraId="6247AE55" w14:textId="77777777" w:rsidR="00741682" w:rsidRDefault="00741682" w:rsidP="00741682">
            <w:pPr>
              <w:rPr>
                <w:rFonts w:ascii="Arial" w:hAnsi="Arial" w:cs="Arial"/>
              </w:rPr>
            </w:pPr>
          </w:p>
          <w:p w14:paraId="2A38A0B4" w14:textId="77777777" w:rsidR="00741682" w:rsidRDefault="00741682" w:rsidP="00741682">
            <w:pPr>
              <w:rPr>
                <w:rFonts w:ascii="Arial" w:hAnsi="Arial" w:cs="Arial"/>
              </w:rPr>
            </w:pPr>
          </w:p>
          <w:p w14:paraId="33F10D13" w14:textId="77777777" w:rsidR="00741682" w:rsidRDefault="00741682" w:rsidP="00741682">
            <w:pPr>
              <w:rPr>
                <w:rFonts w:ascii="Arial" w:hAnsi="Arial" w:cs="Arial"/>
              </w:rPr>
            </w:pPr>
          </w:p>
          <w:p w14:paraId="366FE655" w14:textId="77777777" w:rsidR="00741682" w:rsidRDefault="00741682" w:rsidP="00741682">
            <w:pPr>
              <w:rPr>
                <w:rFonts w:ascii="Arial" w:hAnsi="Arial" w:cs="Arial"/>
              </w:rPr>
            </w:pPr>
          </w:p>
          <w:p w14:paraId="3580EB95" w14:textId="77777777" w:rsidR="00741682" w:rsidRDefault="00741682" w:rsidP="00741682">
            <w:pPr>
              <w:rPr>
                <w:rFonts w:ascii="Arial" w:hAnsi="Arial" w:cs="Arial"/>
              </w:rPr>
            </w:pPr>
          </w:p>
          <w:p w14:paraId="35CEC736" w14:textId="77777777" w:rsidR="00741682" w:rsidRDefault="00741682" w:rsidP="00741682">
            <w:pPr>
              <w:rPr>
                <w:rFonts w:ascii="Arial" w:hAnsi="Arial" w:cs="Arial"/>
              </w:rPr>
            </w:pPr>
          </w:p>
          <w:p w14:paraId="1E3F3936" w14:textId="2DDA968F" w:rsidR="00741682" w:rsidRPr="00BE4E9F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top w:val="single" w:sz="48" w:space="0" w:color="012169"/>
              <w:left w:val="nil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2A81B167" w14:textId="3407BAD3" w:rsidR="00741682" w:rsidRPr="00BE4E9F" w:rsidRDefault="00741682" w:rsidP="00741682">
            <w:pPr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958" w:type="dxa"/>
            <w:tcBorders>
              <w:top w:val="single" w:sz="48" w:space="0" w:color="012169"/>
              <w:left w:val="single" w:sz="4" w:space="0" w:color="D9E2F3" w:themeColor="accent1" w:themeTint="33"/>
              <w:bottom w:val="single" w:sz="4" w:space="0" w:color="auto"/>
            </w:tcBorders>
            <w:shd w:val="clear" w:color="auto" w:fill="D9E2F3" w:themeFill="accent1" w:themeFillTint="33"/>
          </w:tcPr>
          <w:p w14:paraId="7A828197" w14:textId="056FBBBB" w:rsidR="00741682" w:rsidRPr="00BE4E9F" w:rsidRDefault="00741682" w:rsidP="00741682">
            <w:pPr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Adapts communication style to engage diverse others</w:t>
            </w:r>
          </w:p>
        </w:tc>
        <w:tc>
          <w:tcPr>
            <w:tcW w:w="1866" w:type="dxa"/>
            <w:tcBorders>
              <w:top w:val="single" w:sz="48" w:space="0" w:color="012169"/>
              <w:bottom w:val="single" w:sz="4" w:space="0" w:color="auto"/>
            </w:tcBorders>
          </w:tcPr>
          <w:p w14:paraId="7BB267CD" w14:textId="2172B451" w:rsidR="00741682" w:rsidRPr="00444802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444802">
              <w:rPr>
                <w:rFonts w:ascii="Arial" w:hAnsi="Arial" w:cs="Arial"/>
                <w:sz w:val="20"/>
                <w:szCs w:val="20"/>
              </w:rPr>
              <w:t xml:space="preserve">Participates in formal and informal learning in the workplace about the communication practices (norms) of </w:t>
            </w:r>
            <w:r w:rsidRPr="00F41ED5">
              <w:rPr>
                <w:rFonts w:ascii="Arial" w:hAnsi="Arial" w:cs="Arial"/>
                <w:sz w:val="20"/>
                <w:szCs w:val="20"/>
              </w:rPr>
              <w:t>diverse people, e.g., how to use clear vocabulary when explaining concepts, preference for talking face to face, understanding cultural, generational, and individuals with disabilities communication norms.</w:t>
            </w:r>
            <w:r w:rsidRPr="00444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  <w:tcBorders>
              <w:top w:val="single" w:sz="48" w:space="0" w:color="012169"/>
              <w:bottom w:val="single" w:sz="4" w:space="0" w:color="auto"/>
            </w:tcBorders>
          </w:tcPr>
          <w:p w14:paraId="06451DAF" w14:textId="5B2AACF7" w:rsidR="00741682" w:rsidRPr="00444802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444802">
              <w:rPr>
                <w:rFonts w:ascii="Arial" w:hAnsi="Arial" w:cs="Arial"/>
                <w:sz w:val="20"/>
                <w:szCs w:val="20"/>
              </w:rPr>
              <w:t xml:space="preserve">Practices </w:t>
            </w:r>
            <w:r w:rsidRPr="00F41ED5">
              <w:rPr>
                <w:rFonts w:ascii="Arial" w:hAnsi="Arial" w:cs="Arial"/>
                <w:sz w:val="20"/>
                <w:szCs w:val="20"/>
              </w:rPr>
              <w:t xml:space="preserve">communication strategies to engage diverse others, e.g., language, gesture, use of space, </w:t>
            </w:r>
            <w:r>
              <w:rPr>
                <w:rFonts w:ascii="Arial" w:hAnsi="Arial" w:cs="Arial"/>
                <w:sz w:val="20"/>
                <w:szCs w:val="20"/>
              </w:rPr>
              <w:t>providing</w:t>
            </w:r>
            <w:r w:rsidRPr="00444802">
              <w:rPr>
                <w:rFonts w:ascii="Arial" w:hAnsi="Arial" w:cs="Arial"/>
                <w:sz w:val="20"/>
                <w:szCs w:val="20"/>
              </w:rPr>
              <w:t xml:space="preserve"> translations, </w:t>
            </w:r>
            <w:r>
              <w:rPr>
                <w:rFonts w:ascii="Arial" w:hAnsi="Arial" w:cs="Arial"/>
                <w:sz w:val="20"/>
                <w:szCs w:val="20"/>
              </w:rPr>
              <w:t>using</w:t>
            </w:r>
            <w:r w:rsidRPr="00444802">
              <w:rPr>
                <w:rFonts w:ascii="Arial" w:hAnsi="Arial" w:cs="Arial"/>
                <w:sz w:val="20"/>
                <w:szCs w:val="20"/>
              </w:rPr>
              <w:t xml:space="preserve"> active listening skills</w:t>
            </w:r>
          </w:p>
        </w:tc>
        <w:tc>
          <w:tcPr>
            <w:tcW w:w="2162" w:type="dxa"/>
            <w:tcBorders>
              <w:top w:val="single" w:sz="48" w:space="0" w:color="012169"/>
              <w:bottom w:val="single" w:sz="4" w:space="0" w:color="auto"/>
            </w:tcBorders>
          </w:tcPr>
          <w:p w14:paraId="24907FF1" w14:textId="716FE583" w:rsidR="00741682" w:rsidRPr="00444802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444802">
              <w:rPr>
                <w:rFonts w:ascii="Arial" w:hAnsi="Arial" w:cs="Arial"/>
                <w:sz w:val="20"/>
                <w:szCs w:val="20"/>
              </w:rPr>
              <w:t>Adapts communication style to the preferences and necessities of others appropriate to the situation to achieve work goals while complying with organizational standards of practice for business, e.g., face-to-face or technology-based including phone, email, social networking, video conferencing; gesture, eye contact, language</w:t>
            </w:r>
          </w:p>
        </w:tc>
        <w:tc>
          <w:tcPr>
            <w:tcW w:w="1856" w:type="dxa"/>
            <w:tcBorders>
              <w:top w:val="single" w:sz="48" w:space="0" w:color="012169"/>
              <w:bottom w:val="single" w:sz="4" w:space="0" w:color="auto"/>
            </w:tcBorders>
          </w:tcPr>
          <w:p w14:paraId="56891153" w14:textId="1702DBB5" w:rsidR="00741682" w:rsidRPr="00444802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444802">
              <w:rPr>
                <w:rFonts w:ascii="Arial" w:hAnsi="Arial" w:cs="Arial"/>
                <w:sz w:val="20"/>
                <w:szCs w:val="20"/>
              </w:rPr>
              <w:t>Models flexible use of communications styles</w:t>
            </w:r>
          </w:p>
        </w:tc>
      </w:tr>
      <w:tr w:rsidR="00741682" w:rsidRPr="00BE4E9F" w14:paraId="734F84DA" w14:textId="77777777" w:rsidTr="008D3E7C"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1831ECED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E5AFEE3" w14:textId="77777777" w:rsidR="00741682" w:rsidRPr="00BE4E9F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left w:val="nil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13F12C8D" w14:textId="5BD62C1D" w:rsidR="00741682" w:rsidRPr="00BE4E9F" w:rsidRDefault="00741682" w:rsidP="00741682">
            <w:pPr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1.2</w:t>
            </w:r>
          </w:p>
        </w:tc>
        <w:tc>
          <w:tcPr>
            <w:tcW w:w="2958" w:type="dxa"/>
            <w:tcBorders>
              <w:left w:val="single" w:sz="4" w:space="0" w:color="D9E2F3" w:themeColor="accent1" w:themeTint="33"/>
              <w:bottom w:val="single" w:sz="4" w:space="0" w:color="auto"/>
            </w:tcBorders>
            <w:shd w:val="clear" w:color="auto" w:fill="D9E2F3" w:themeFill="accent1" w:themeFillTint="33"/>
          </w:tcPr>
          <w:p w14:paraId="2646C7C9" w14:textId="1B5CB717" w:rsidR="00741682" w:rsidRPr="00BE4E9F" w:rsidRDefault="00741682" w:rsidP="00741682">
            <w:pPr>
              <w:pStyle w:val="TableParagraph"/>
              <w:ind w:left="112" w:right="188"/>
              <w:rPr>
                <w:rFonts w:ascii="Arial" w:hAnsi="Arial" w:cs="Arial"/>
              </w:rPr>
            </w:pPr>
            <w:r w:rsidRPr="00BE4E9F">
              <w:rPr>
                <w:rFonts w:ascii="Arial" w:hAnsi="Arial" w:cs="Arial"/>
              </w:rPr>
              <w:t>Adapts communication style to engage other generations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46B2418" w14:textId="0B656F1A" w:rsidR="00741682" w:rsidRPr="00825A67" w:rsidRDefault="00741682" w:rsidP="00741682">
            <w:pPr>
              <w:pStyle w:val="TableParagraph"/>
              <w:tabs>
                <w:tab w:val="left" w:pos="832"/>
                <w:tab w:val="left" w:pos="833"/>
              </w:tabs>
              <w:spacing w:line="244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5A67">
              <w:rPr>
                <w:rFonts w:ascii="Arial" w:hAnsi="Arial" w:cs="Arial"/>
                <w:sz w:val="20"/>
                <w:szCs w:val="20"/>
              </w:rPr>
              <w:t>Acknowledges generational differences in methods of communication, e.g., email, texting, social media, use of phone, face-to-face, walking over to someone’s cube; chain of command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1D54576E" w14:textId="0F4A184B" w:rsidR="00741682" w:rsidRPr="00825A67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25A67">
              <w:rPr>
                <w:rFonts w:ascii="Arial" w:hAnsi="Arial" w:cs="Arial"/>
                <w:sz w:val="20"/>
                <w:szCs w:val="20"/>
              </w:rPr>
              <w:t>Aligns communication practices to organizational expectations for business communication in the 21st-century workplace, e.g., balances face-to-face and technology-based communications; avoids jargon and informal language; avoids abbreviations used in social media (“lol,” emoticons)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47AADEF8" w14:textId="20EEC9E3" w:rsidR="00741682" w:rsidRPr="00825A67" w:rsidRDefault="00741682" w:rsidP="007416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5A67">
              <w:rPr>
                <w:rFonts w:ascii="Arial" w:hAnsi="Arial" w:cs="Arial"/>
                <w:sz w:val="20"/>
                <w:szCs w:val="20"/>
              </w:rPr>
              <w:t>Adapts communication style to the preferences and necessities of others appropriate to the situation to achieve work goals while complying with organizational standards of practice for business, e.g., face-to-face or technology-based including phone, email, social networking, video conferencing; gesture, eye contact, language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13898EE" w14:textId="06D55F7F" w:rsidR="00741682" w:rsidRPr="00825A67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25A67">
              <w:rPr>
                <w:rFonts w:ascii="Arial" w:hAnsi="Arial" w:cs="Arial"/>
                <w:sz w:val="20"/>
                <w:szCs w:val="20"/>
              </w:rPr>
              <w:t>Models flexible use of communications styles</w:t>
            </w:r>
          </w:p>
        </w:tc>
      </w:tr>
      <w:tr w:rsidR="00741682" w:rsidRPr="00851BFA" w14:paraId="575BCFEE" w14:textId="77777777" w:rsidTr="0050104C">
        <w:tc>
          <w:tcPr>
            <w:tcW w:w="522" w:type="dxa"/>
            <w:tcBorders>
              <w:top w:val="single" w:sz="48" w:space="0" w:color="012169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05109F5F" w14:textId="3BE0E0D3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612" w:type="dxa"/>
            <w:gridSpan w:val="2"/>
            <w:tcBorders>
              <w:top w:val="single" w:sz="48" w:space="0" w:color="012169"/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9BEC2F2" w14:textId="5C7F857B" w:rsidR="00741682" w:rsidRPr="00851BFA" w:rsidRDefault="00741682" w:rsidP="0074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Contributes to an e</w:t>
            </w:r>
            <w:r w:rsidR="00957FA3">
              <w:rPr>
                <w:rFonts w:ascii="Arial" w:hAnsi="Arial" w:cs="Arial"/>
              </w:rPr>
              <w:t>nvironment of acceptance and inclusion that enables the whole team to work together</w:t>
            </w:r>
            <w:r w:rsidR="00AC5D1D">
              <w:rPr>
                <w:rFonts w:ascii="Arial" w:hAnsi="Arial" w:cs="Arial"/>
              </w:rPr>
              <w:t>.</w:t>
            </w:r>
          </w:p>
        </w:tc>
        <w:tc>
          <w:tcPr>
            <w:tcW w:w="523" w:type="dxa"/>
            <w:tcBorders>
              <w:top w:val="single" w:sz="48" w:space="0" w:color="012169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649AA09" w14:textId="4367D19A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2.1</w:t>
            </w:r>
          </w:p>
        </w:tc>
        <w:tc>
          <w:tcPr>
            <w:tcW w:w="2958" w:type="dxa"/>
            <w:tcBorders>
              <w:top w:val="single" w:sz="48" w:space="0" w:color="012169"/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30CF93A" w14:textId="00E0DD69" w:rsidR="00741682" w:rsidRPr="00851BFA" w:rsidRDefault="00741682" w:rsidP="00741682">
            <w:pPr>
              <w:pStyle w:val="TableParagraph"/>
              <w:ind w:left="112" w:right="188"/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Builds relationships with diverse individuals and groups</w:t>
            </w:r>
          </w:p>
        </w:tc>
        <w:tc>
          <w:tcPr>
            <w:tcW w:w="1866" w:type="dxa"/>
            <w:tcBorders>
              <w:top w:val="single" w:sz="48" w:space="0" w:color="012169"/>
            </w:tcBorders>
          </w:tcPr>
          <w:p w14:paraId="03C21DBC" w14:textId="2330AEA8" w:rsidR="00741682" w:rsidRPr="00851BFA" w:rsidRDefault="00741682" w:rsidP="00741682">
            <w:pPr>
              <w:pStyle w:val="TableParagraph"/>
              <w:tabs>
                <w:tab w:val="left" w:pos="832"/>
                <w:tab w:val="left" w:pos="833"/>
              </w:tabs>
              <w:spacing w:line="244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 xml:space="preserve">Supports cultural,  generational, and ability differences in the workplace, e.g., spends time with people of cultures different from one’s own (in lunch, at meetings); spells/ pronounces names correctly; participates in cultural celebrations other than one’s own; participates in diverse work teams; relates </w:t>
            </w:r>
            <w:r>
              <w:rPr>
                <w:rFonts w:ascii="Arial" w:hAnsi="Arial" w:cs="Arial"/>
                <w:sz w:val="20"/>
                <w:szCs w:val="20"/>
              </w:rPr>
              <w:t>positively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 to diverse others to complete work tasks; relies upon the experience of </w:t>
            </w:r>
            <w:r w:rsidRPr="00851BFA">
              <w:rPr>
                <w:rFonts w:ascii="Arial" w:hAnsi="Arial" w:cs="Arial"/>
                <w:sz w:val="20"/>
                <w:szCs w:val="20"/>
              </w:rPr>
              <w:lastRenderedPageBreak/>
              <w:t>coworkers (seniority in workplace, youth</w:t>
            </w:r>
            <w:r w:rsidR="00AC5D1D">
              <w:rPr>
                <w:rFonts w:ascii="Arial" w:hAnsi="Arial" w:cs="Arial"/>
                <w:sz w:val="20"/>
                <w:szCs w:val="20"/>
              </w:rPr>
              <w:t>,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 and social media); supports various cultural initiatives; seeks opportunities to learn about diverse others; takes classes/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 in cultural competence; participates in diverse teams</w:t>
            </w:r>
          </w:p>
        </w:tc>
        <w:tc>
          <w:tcPr>
            <w:tcW w:w="1895" w:type="dxa"/>
            <w:tcBorders>
              <w:top w:val="single" w:sz="48" w:space="0" w:color="012169"/>
            </w:tcBorders>
          </w:tcPr>
          <w:p w14:paraId="48FB6BD8" w14:textId="32064511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lastRenderedPageBreak/>
              <w:t xml:space="preserve">Engages diverse coworkers to accomplish work goals, e.g., initiates discussion with an intergenerational group of coworkers regarding changing procedures,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work issues; asks for input from a variety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diverse viewpoints; communicates one’s cultural orientation to others; practices behaviors modeled by culturally sensitive people; participates in a </w:t>
            </w:r>
            <w:r w:rsidRPr="00851BFA">
              <w:rPr>
                <w:rFonts w:ascii="Arial" w:hAnsi="Arial" w:cs="Arial"/>
                <w:sz w:val="20"/>
                <w:szCs w:val="20"/>
              </w:rPr>
              <w:lastRenderedPageBreak/>
              <w:t>diversity committee at work; utilizes strengths of individual team members</w:t>
            </w:r>
          </w:p>
        </w:tc>
        <w:tc>
          <w:tcPr>
            <w:tcW w:w="2162" w:type="dxa"/>
            <w:tcBorders>
              <w:top w:val="single" w:sz="48" w:space="0" w:color="012169"/>
            </w:tcBorders>
          </w:tcPr>
          <w:p w14:paraId="7065204C" w14:textId="4C464F27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lastRenderedPageBreak/>
              <w:t xml:space="preserve">Demonstrates respect for diverse others through interactions/behaviors in the workplace: e.g., volunteers to acclimate new employees; practices social etiquette that responds to cultures and generations in the workplace; provides feedback and encouragement in support of the </w:t>
            </w:r>
            <w:r>
              <w:rPr>
                <w:rFonts w:ascii="Arial" w:hAnsi="Arial" w:cs="Arial"/>
                <w:sz w:val="20"/>
                <w:szCs w:val="20"/>
              </w:rPr>
              <w:t>workgroup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; embraces diversity as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added value to the workplace; draws upon the skills and experience of coworkers regardless of ethnicity, age, gender, and abilities; </w:t>
            </w:r>
            <w:r>
              <w:rPr>
                <w:rFonts w:ascii="Arial" w:hAnsi="Arial" w:cs="Arial"/>
                <w:sz w:val="20"/>
                <w:szCs w:val="20"/>
              </w:rPr>
              <w:t>integrate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 the ideas </w:t>
            </w:r>
            <w:r w:rsidRPr="00851BFA">
              <w:rPr>
                <w:rFonts w:ascii="Arial" w:hAnsi="Arial" w:cs="Arial"/>
                <w:sz w:val="20"/>
                <w:szCs w:val="20"/>
              </w:rPr>
              <w:lastRenderedPageBreak/>
              <w:t>and perspectives of diverse others</w:t>
            </w:r>
          </w:p>
        </w:tc>
        <w:tc>
          <w:tcPr>
            <w:tcW w:w="1856" w:type="dxa"/>
            <w:tcBorders>
              <w:top w:val="single" w:sz="48" w:space="0" w:color="012169"/>
            </w:tcBorders>
          </w:tcPr>
          <w:p w14:paraId="7294F3D9" w14:textId="6D4AD09E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1BFA">
              <w:rPr>
                <w:rFonts w:ascii="Arial" w:hAnsi="Arial" w:cs="Arial"/>
                <w:sz w:val="20"/>
                <w:szCs w:val="20"/>
              </w:rPr>
              <w:lastRenderedPageBreak/>
              <w:t>Mentors</w:t>
            </w:r>
            <w:proofErr w:type="gramEnd"/>
            <w:r w:rsidRPr="00851BFA">
              <w:rPr>
                <w:rFonts w:ascii="Arial" w:hAnsi="Arial" w:cs="Arial"/>
                <w:sz w:val="20"/>
                <w:szCs w:val="20"/>
              </w:rPr>
              <w:t xml:space="preserve"> others to thrive in a diverse workplace, e.g., organizes or leads diverse work teams; incorporates a variety of world views and perspectives into work;</w:t>
            </w:r>
          </w:p>
        </w:tc>
      </w:tr>
      <w:tr w:rsidR="00741682" w:rsidRPr="00851BFA" w14:paraId="478F967D" w14:textId="77777777" w:rsidTr="00825A67">
        <w:tc>
          <w:tcPr>
            <w:tcW w:w="608" w:type="dxa"/>
            <w:gridSpan w:val="2"/>
            <w:vMerge w:val="restart"/>
            <w:tcBorders>
              <w:right w:val="single" w:sz="4" w:space="0" w:color="B4C6E7"/>
            </w:tcBorders>
            <w:shd w:val="clear" w:color="auto" w:fill="B4C6E7" w:themeFill="accent1" w:themeFillTint="66"/>
          </w:tcPr>
          <w:p w14:paraId="43584648" w14:textId="2B3C7545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 xml:space="preserve"> </w:t>
            </w:r>
          </w:p>
          <w:p w14:paraId="783EF750" w14:textId="3E364740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left w:val="single" w:sz="4" w:space="0" w:color="B4C6E7"/>
            </w:tcBorders>
            <w:shd w:val="clear" w:color="auto" w:fill="B4C6E7" w:themeFill="accent1" w:themeFillTint="66"/>
          </w:tcPr>
          <w:p w14:paraId="2B6EDA95" w14:textId="75B8A3DD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 xml:space="preserve"> </w:t>
            </w:r>
          </w:p>
          <w:p w14:paraId="60CCF10B" w14:textId="7FC10878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33F5FFB3" w14:textId="40EBA19B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58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31480A24" w14:textId="0A7393DB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</w:rPr>
              <w:t>Addresses challenges with sensitivity for intergenerational, cross-cultural, and individuals with disabilities</w:t>
            </w:r>
          </w:p>
        </w:tc>
        <w:tc>
          <w:tcPr>
            <w:tcW w:w="1866" w:type="dxa"/>
          </w:tcPr>
          <w:p w14:paraId="33B9C412" w14:textId="23E393C1" w:rsidR="00741682" w:rsidRPr="00851BFA" w:rsidRDefault="00741682" w:rsidP="00741682">
            <w:pPr>
              <w:pStyle w:val="TableParagraph"/>
              <w:tabs>
                <w:tab w:val="left" w:pos="832"/>
                <w:tab w:val="left" w:pos="833"/>
              </w:tabs>
              <w:spacing w:line="244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Recognizes situations and incidents that require sensitivity</w:t>
            </w:r>
          </w:p>
        </w:tc>
        <w:tc>
          <w:tcPr>
            <w:tcW w:w="1895" w:type="dxa"/>
          </w:tcPr>
          <w:p w14:paraId="78A3BAD5" w14:textId="6CA82322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Interacts in a manner that demonstrates sensitivity</w:t>
            </w:r>
          </w:p>
        </w:tc>
        <w:tc>
          <w:tcPr>
            <w:tcW w:w="2162" w:type="dxa"/>
          </w:tcPr>
          <w:p w14:paraId="3C43647B" w14:textId="022F6275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Resolves situations and incidents that require sensitivity</w:t>
            </w:r>
          </w:p>
        </w:tc>
        <w:tc>
          <w:tcPr>
            <w:tcW w:w="1856" w:type="dxa"/>
          </w:tcPr>
          <w:p w14:paraId="00729A21" w14:textId="53AC74DD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 xml:space="preserve">Models for others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851BFA">
              <w:rPr>
                <w:rFonts w:ascii="Arial" w:hAnsi="Arial" w:cs="Arial"/>
                <w:sz w:val="20"/>
                <w:szCs w:val="20"/>
              </w:rPr>
              <w:t>how best to apply sensitivity when working with diverse others</w:t>
            </w:r>
          </w:p>
        </w:tc>
      </w:tr>
      <w:tr w:rsidR="00741682" w:rsidRPr="00851BFA" w14:paraId="7CC2D77E" w14:textId="77777777" w:rsidTr="00825A67">
        <w:tc>
          <w:tcPr>
            <w:tcW w:w="608" w:type="dxa"/>
            <w:gridSpan w:val="2"/>
            <w:vMerge/>
            <w:tcBorders>
              <w:right w:val="single" w:sz="4" w:space="0" w:color="B4C6E7"/>
            </w:tcBorders>
            <w:shd w:val="clear" w:color="auto" w:fill="B4C6E7" w:themeFill="accent1" w:themeFillTint="66"/>
          </w:tcPr>
          <w:p w14:paraId="05FF6D63" w14:textId="77777777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left w:val="single" w:sz="4" w:space="0" w:color="B4C6E7"/>
            </w:tcBorders>
            <w:shd w:val="clear" w:color="auto" w:fill="B4C6E7" w:themeFill="accent1" w:themeFillTint="66"/>
          </w:tcPr>
          <w:p w14:paraId="4F1D8DE0" w14:textId="6CB8BB89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3EBDDE12" w14:textId="45EFDF81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 xml:space="preserve">2.3 </w:t>
            </w:r>
          </w:p>
        </w:tc>
        <w:tc>
          <w:tcPr>
            <w:tcW w:w="2958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3BD89BBF" w14:textId="1986A6D6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Celebrates achievements and contributions of diverse others</w:t>
            </w:r>
          </w:p>
        </w:tc>
        <w:tc>
          <w:tcPr>
            <w:tcW w:w="1866" w:type="dxa"/>
          </w:tcPr>
          <w:p w14:paraId="7FDBD243" w14:textId="6D9AD47A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Participates in employee recognition ceremonies</w:t>
            </w:r>
          </w:p>
        </w:tc>
        <w:tc>
          <w:tcPr>
            <w:tcW w:w="1895" w:type="dxa"/>
          </w:tcPr>
          <w:p w14:paraId="5C56FE9E" w14:textId="77777777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Recognizes successes of individuals and teams, e.g., nominates for awards and accomplishments regardless of gender, culture, etc.</w:t>
            </w:r>
          </w:p>
          <w:p w14:paraId="2F1E596A" w14:textId="42E4BDED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14:paraId="3A5901C3" w14:textId="665D8990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Celebrates the contributions of diverse others</w:t>
            </w:r>
          </w:p>
        </w:tc>
        <w:tc>
          <w:tcPr>
            <w:tcW w:w="1856" w:type="dxa"/>
          </w:tcPr>
          <w:p w14:paraId="03A56FE8" w14:textId="39E2754B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Creates opportunities to celebrate the contributions and successes of diverse others</w:t>
            </w:r>
          </w:p>
        </w:tc>
      </w:tr>
      <w:tr w:rsidR="00741682" w:rsidRPr="00851BFA" w14:paraId="24CC272F" w14:textId="77777777" w:rsidTr="00825A67">
        <w:tc>
          <w:tcPr>
            <w:tcW w:w="608" w:type="dxa"/>
            <w:gridSpan w:val="2"/>
            <w:tcBorders>
              <w:right w:val="single" w:sz="4" w:space="0" w:color="B4C6E7"/>
            </w:tcBorders>
            <w:shd w:val="clear" w:color="auto" w:fill="B4C6E7" w:themeFill="accent1" w:themeFillTint="66"/>
          </w:tcPr>
          <w:p w14:paraId="15682CE3" w14:textId="77777777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left w:val="single" w:sz="4" w:space="0" w:color="B4C6E7"/>
            </w:tcBorders>
            <w:shd w:val="clear" w:color="auto" w:fill="B4C6E7" w:themeFill="accent1" w:themeFillTint="66"/>
          </w:tcPr>
          <w:p w14:paraId="588EC672" w14:textId="77777777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785FF647" w14:textId="579D7575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2.4</w:t>
            </w:r>
          </w:p>
        </w:tc>
        <w:tc>
          <w:tcPr>
            <w:tcW w:w="2958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1477ED18" w14:textId="5149AAF6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Functions comfortably in the global marketplace</w:t>
            </w:r>
          </w:p>
        </w:tc>
        <w:tc>
          <w:tcPr>
            <w:tcW w:w="1866" w:type="dxa"/>
          </w:tcPr>
          <w:p w14:paraId="57CF6964" w14:textId="1467AC2D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 xml:space="preserve">Identifies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51BFA">
              <w:rPr>
                <w:rFonts w:ascii="Arial" w:hAnsi="Arial" w:cs="Arial"/>
                <w:sz w:val="20"/>
                <w:szCs w:val="20"/>
              </w:rPr>
              <w:t>organization’s ties to the global marketplace</w:t>
            </w:r>
          </w:p>
        </w:tc>
        <w:tc>
          <w:tcPr>
            <w:tcW w:w="1895" w:type="dxa"/>
          </w:tcPr>
          <w:p w14:paraId="4B0AF998" w14:textId="6BDFB2CF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Interacts with others in the global marketplace as required by work</w:t>
            </w:r>
          </w:p>
        </w:tc>
        <w:tc>
          <w:tcPr>
            <w:tcW w:w="2162" w:type="dxa"/>
          </w:tcPr>
          <w:p w14:paraId="7F161501" w14:textId="58C8B4B4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Performs with ease in the global marketplace, e.g., works across time zones; engages multilingual teams; attends to meeting schedules, deadlines, non-</w:t>
            </w:r>
            <w:r w:rsidR="00DA534F" w:rsidRPr="00851BFA">
              <w:rPr>
                <w:rFonts w:ascii="Arial" w:hAnsi="Arial" w:cs="Arial"/>
                <w:sz w:val="20"/>
                <w:szCs w:val="20"/>
              </w:rPr>
              <w:t>workdays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 (Fri/Sat weekend in Egypt), holidays</w:t>
            </w:r>
          </w:p>
        </w:tc>
        <w:tc>
          <w:tcPr>
            <w:tcW w:w="1856" w:type="dxa"/>
          </w:tcPr>
          <w:p w14:paraId="0D30D0EF" w14:textId="250DEBD5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Guides others in conducting work in the global marketplace</w:t>
            </w:r>
          </w:p>
        </w:tc>
      </w:tr>
      <w:tr w:rsidR="00741682" w:rsidRPr="00851BFA" w14:paraId="5CB0D8D0" w14:textId="77777777" w:rsidTr="00825A67">
        <w:tc>
          <w:tcPr>
            <w:tcW w:w="608" w:type="dxa"/>
            <w:gridSpan w:val="2"/>
            <w:tcBorders>
              <w:right w:val="single" w:sz="4" w:space="0" w:color="B4C6E7"/>
            </w:tcBorders>
            <w:shd w:val="clear" w:color="auto" w:fill="B4C6E7" w:themeFill="accent1" w:themeFillTint="66"/>
          </w:tcPr>
          <w:p w14:paraId="5FC4B624" w14:textId="77777777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left w:val="single" w:sz="4" w:space="0" w:color="B4C6E7"/>
            </w:tcBorders>
            <w:shd w:val="clear" w:color="auto" w:fill="B4C6E7" w:themeFill="accent1" w:themeFillTint="66"/>
          </w:tcPr>
          <w:p w14:paraId="188C6935" w14:textId="77777777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DACDFD5" w14:textId="7BDA3977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2.5</w:t>
            </w:r>
          </w:p>
        </w:tc>
        <w:tc>
          <w:tcPr>
            <w:tcW w:w="2958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4C13D674" w14:textId="3E56D55F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Relies upon the wisdom and experience of others to accomplish work</w:t>
            </w:r>
          </w:p>
        </w:tc>
        <w:tc>
          <w:tcPr>
            <w:tcW w:w="1866" w:type="dxa"/>
          </w:tcPr>
          <w:p w14:paraId="30170572" w14:textId="24447C39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Recognizes the wisdom, experience, and institutional knowledge in the workplace</w:t>
            </w:r>
          </w:p>
        </w:tc>
        <w:tc>
          <w:tcPr>
            <w:tcW w:w="1895" w:type="dxa"/>
          </w:tcPr>
          <w:p w14:paraId="7E38B011" w14:textId="725E60F5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Draws upon the experience and wisdom of others, as well as institutional knowledge, to perform work</w:t>
            </w:r>
          </w:p>
        </w:tc>
        <w:tc>
          <w:tcPr>
            <w:tcW w:w="2162" w:type="dxa"/>
          </w:tcPr>
          <w:p w14:paraId="5FC76B38" w14:textId="29BA976F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Integrates the wisdom and experience of others and institutional knowledge into work</w:t>
            </w:r>
          </w:p>
        </w:tc>
        <w:tc>
          <w:tcPr>
            <w:tcW w:w="1856" w:type="dxa"/>
          </w:tcPr>
          <w:p w14:paraId="006924AE" w14:textId="76503DAF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Contributes wisdom and experience to institutional knowledge</w:t>
            </w:r>
          </w:p>
        </w:tc>
      </w:tr>
      <w:tr w:rsidR="00741682" w:rsidRPr="00851BFA" w14:paraId="09B14A01" w14:textId="77777777" w:rsidTr="00825A67">
        <w:tc>
          <w:tcPr>
            <w:tcW w:w="608" w:type="dxa"/>
            <w:gridSpan w:val="2"/>
            <w:tcBorders>
              <w:right w:val="single" w:sz="4" w:space="0" w:color="B4C6E7"/>
            </w:tcBorders>
            <w:shd w:val="clear" w:color="auto" w:fill="B4C6E7" w:themeFill="accent1" w:themeFillTint="66"/>
          </w:tcPr>
          <w:p w14:paraId="50AF739D" w14:textId="77777777" w:rsidR="00741682" w:rsidRPr="00851BFA" w:rsidRDefault="00741682" w:rsidP="00741682">
            <w:pPr>
              <w:rPr>
                <w:rFonts w:ascii="Arial" w:hAnsi="Arial" w:cs="Arial"/>
              </w:rPr>
            </w:pPr>
            <w:bookmarkStart w:id="0" w:name="_Hlk102136877"/>
          </w:p>
        </w:tc>
        <w:tc>
          <w:tcPr>
            <w:tcW w:w="2526" w:type="dxa"/>
            <w:tcBorders>
              <w:left w:val="single" w:sz="4" w:space="0" w:color="B4C6E7"/>
            </w:tcBorders>
            <w:shd w:val="clear" w:color="auto" w:fill="B4C6E7" w:themeFill="accent1" w:themeFillTint="66"/>
          </w:tcPr>
          <w:p w14:paraId="75F3343C" w14:textId="77777777" w:rsidR="00741682" w:rsidRPr="00851BFA" w:rsidRDefault="00741682" w:rsidP="00741682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0E27D8B6" w14:textId="35CE8DF2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2.6</w:t>
            </w:r>
          </w:p>
        </w:tc>
        <w:tc>
          <w:tcPr>
            <w:tcW w:w="2958" w:type="dxa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29B17BC9" w14:textId="738376C4" w:rsidR="00741682" w:rsidRPr="00851BFA" w:rsidRDefault="00741682" w:rsidP="00741682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Addresses intergenerational tensions</w:t>
            </w:r>
          </w:p>
        </w:tc>
        <w:tc>
          <w:tcPr>
            <w:tcW w:w="1866" w:type="dxa"/>
          </w:tcPr>
          <w:p w14:paraId="18E6944E" w14:textId="1570444D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Recognizes issues that contribute to intergenerational tensions, e.g., lifestyle choices, expectations, work/life balance</w:t>
            </w:r>
          </w:p>
        </w:tc>
        <w:tc>
          <w:tcPr>
            <w:tcW w:w="1895" w:type="dxa"/>
          </w:tcPr>
          <w:p w14:paraId="60D43659" w14:textId="0EF904A2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Practices communication styles and collaborative methods to communicate and collaborate across intergenerational divides.</w:t>
            </w:r>
          </w:p>
        </w:tc>
        <w:tc>
          <w:tcPr>
            <w:tcW w:w="2162" w:type="dxa"/>
          </w:tcPr>
          <w:p w14:paraId="4835CF25" w14:textId="02337959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Seeks feedback on how to manage intergenerational issues</w:t>
            </w:r>
          </w:p>
        </w:tc>
        <w:tc>
          <w:tcPr>
            <w:tcW w:w="1856" w:type="dxa"/>
          </w:tcPr>
          <w:p w14:paraId="53589DF9" w14:textId="0BC2EB2E" w:rsidR="00741682" w:rsidRPr="00851BFA" w:rsidRDefault="00741682" w:rsidP="0074168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1BFA">
              <w:rPr>
                <w:rFonts w:ascii="Arial" w:hAnsi="Arial" w:cs="Arial"/>
                <w:sz w:val="20"/>
                <w:szCs w:val="20"/>
              </w:rPr>
              <w:t>Models</w:t>
            </w:r>
            <w:proofErr w:type="gramEnd"/>
            <w:r w:rsidRPr="00851BFA">
              <w:rPr>
                <w:rFonts w:ascii="Arial" w:hAnsi="Arial" w:cs="Arial"/>
                <w:sz w:val="20"/>
                <w:szCs w:val="20"/>
              </w:rPr>
              <w:t xml:space="preserve"> behaviors that promote intergenerational collaboration</w:t>
            </w:r>
          </w:p>
        </w:tc>
      </w:tr>
    </w:tbl>
    <w:tbl>
      <w:tblPr>
        <w:tblStyle w:val="TableGrid1"/>
        <w:tblW w:w="14394" w:type="dxa"/>
        <w:tblInd w:w="-2" w:type="dxa"/>
        <w:tblLook w:val="04A0" w:firstRow="1" w:lastRow="0" w:firstColumn="1" w:lastColumn="0" w:noHBand="0" w:noVBand="1"/>
      </w:tblPr>
      <w:tblGrid>
        <w:gridCol w:w="610"/>
        <w:gridCol w:w="2529"/>
        <w:gridCol w:w="523"/>
        <w:gridCol w:w="2958"/>
        <w:gridCol w:w="1866"/>
        <w:gridCol w:w="1894"/>
        <w:gridCol w:w="2158"/>
        <w:gridCol w:w="1856"/>
      </w:tblGrid>
      <w:tr w:rsidR="00C47A00" w:rsidRPr="00E327F8" w14:paraId="21AAE33F" w14:textId="77777777" w:rsidTr="00C47A00">
        <w:tc>
          <w:tcPr>
            <w:tcW w:w="610" w:type="dxa"/>
            <w:tcBorders>
              <w:top w:val="single" w:sz="48" w:space="0" w:color="012169"/>
              <w:bottom w:val="single" w:sz="2" w:space="0" w:color="000000"/>
              <w:right w:val="single" w:sz="4" w:space="0" w:color="B4C6E7"/>
            </w:tcBorders>
            <w:shd w:val="clear" w:color="auto" w:fill="B4C6E7" w:themeFill="accent1" w:themeFillTint="66"/>
          </w:tcPr>
          <w:bookmarkEnd w:id="0"/>
          <w:p w14:paraId="76F2573B" w14:textId="77777777" w:rsidR="00C47A00" w:rsidRPr="00851BFA" w:rsidRDefault="00C47A00" w:rsidP="00076880">
            <w:pPr>
              <w:rPr>
                <w:rFonts w:ascii="Roboto" w:hAnsi="Roboto"/>
              </w:rPr>
            </w:pPr>
            <w:r w:rsidRPr="00851BFA">
              <w:rPr>
                <w:rFonts w:ascii="Roboto" w:hAnsi="Roboto"/>
              </w:rPr>
              <w:t>3.0</w:t>
            </w:r>
          </w:p>
        </w:tc>
        <w:tc>
          <w:tcPr>
            <w:tcW w:w="2529" w:type="dxa"/>
            <w:tcBorders>
              <w:top w:val="single" w:sz="48" w:space="0" w:color="012169"/>
              <w:left w:val="single" w:sz="4" w:space="0" w:color="B4C6E7"/>
              <w:bottom w:val="single" w:sz="2" w:space="0" w:color="000000"/>
            </w:tcBorders>
            <w:shd w:val="clear" w:color="auto" w:fill="B4C6E7" w:themeFill="accent1" w:themeFillTint="66"/>
          </w:tcPr>
          <w:p w14:paraId="4A095F9B" w14:textId="1D063CE8" w:rsidR="00C47A00" w:rsidRPr="00851BFA" w:rsidRDefault="00182958" w:rsidP="00076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</w:t>
            </w:r>
            <w:r w:rsidR="00C47A00" w:rsidRPr="00851BFA">
              <w:rPr>
                <w:rFonts w:ascii="Arial" w:hAnsi="Arial" w:cs="Arial"/>
              </w:rPr>
              <w:t xml:space="preserve"> generational differences related to the use of technology in the workplace</w:t>
            </w:r>
          </w:p>
        </w:tc>
        <w:tc>
          <w:tcPr>
            <w:tcW w:w="523" w:type="dxa"/>
            <w:tcBorders>
              <w:top w:val="single" w:sz="48" w:space="0" w:color="012169"/>
              <w:bottom w:val="single" w:sz="2" w:space="0" w:color="000000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4A589CF" w14:textId="77777777" w:rsidR="00C47A00" w:rsidRPr="00851BFA" w:rsidRDefault="00C47A00" w:rsidP="00076880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3.1</w:t>
            </w:r>
          </w:p>
        </w:tc>
        <w:tc>
          <w:tcPr>
            <w:tcW w:w="2958" w:type="dxa"/>
            <w:tcBorders>
              <w:top w:val="single" w:sz="48" w:space="0" w:color="012169"/>
              <w:left w:val="single" w:sz="4" w:space="0" w:color="D9E2F3" w:themeColor="accent1" w:themeTint="33"/>
              <w:bottom w:val="single" w:sz="2" w:space="0" w:color="000000"/>
            </w:tcBorders>
            <w:shd w:val="clear" w:color="auto" w:fill="D9E2F3" w:themeFill="accent1" w:themeFillTint="33"/>
          </w:tcPr>
          <w:p w14:paraId="3DA4B57F" w14:textId="77777777" w:rsidR="00C47A00" w:rsidRPr="00851BFA" w:rsidRDefault="00C47A00" w:rsidP="00076880">
            <w:pPr>
              <w:rPr>
                <w:rFonts w:ascii="Arial" w:hAnsi="Arial" w:cs="Arial"/>
              </w:rPr>
            </w:pPr>
            <w:r w:rsidRPr="00851BFA">
              <w:rPr>
                <w:rFonts w:ascii="Arial" w:hAnsi="Arial" w:cs="Arial"/>
              </w:rPr>
              <w:t>Selects from technological and non-technological methods/tools to communicate across generations</w:t>
            </w:r>
          </w:p>
        </w:tc>
        <w:tc>
          <w:tcPr>
            <w:tcW w:w="1866" w:type="dxa"/>
            <w:tcBorders>
              <w:top w:val="single" w:sz="48" w:space="0" w:color="012169"/>
              <w:bottom w:val="single" w:sz="2" w:space="0" w:color="000000"/>
            </w:tcBorders>
          </w:tcPr>
          <w:p w14:paraId="093AB6F9" w14:textId="77777777" w:rsidR="00C47A00" w:rsidRDefault="00C47A00" w:rsidP="00076880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Participates in formal and informal learning opportunities to develop technological and non-technological skills</w:t>
            </w:r>
          </w:p>
          <w:p w14:paraId="4C8385A1" w14:textId="77777777" w:rsidR="00914586" w:rsidRPr="00914586" w:rsidRDefault="00914586" w:rsidP="009145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E45D2" w14:textId="77777777" w:rsidR="00914586" w:rsidRPr="00914586" w:rsidRDefault="00914586" w:rsidP="009145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F288E" w14:textId="77777777" w:rsidR="00914586" w:rsidRPr="00914586" w:rsidRDefault="00914586" w:rsidP="009145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CCFA3" w14:textId="77777777" w:rsidR="00914586" w:rsidRDefault="00914586" w:rsidP="009145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38D76" w14:textId="77777777" w:rsidR="00914586" w:rsidRDefault="00914586" w:rsidP="009145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A0B6C" w14:textId="77777777" w:rsidR="00914586" w:rsidRDefault="00914586" w:rsidP="009145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2323F" w14:textId="77777777" w:rsidR="00914586" w:rsidRDefault="00914586" w:rsidP="009145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3A72B" w14:textId="4CE51ACE" w:rsidR="00914586" w:rsidRPr="00914586" w:rsidRDefault="00914586" w:rsidP="00914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8" w:space="0" w:color="012169"/>
              <w:bottom w:val="single" w:sz="2" w:space="0" w:color="auto"/>
            </w:tcBorders>
          </w:tcPr>
          <w:p w14:paraId="3CC11B40" w14:textId="77777777" w:rsidR="00C47A00" w:rsidRPr="00851BFA" w:rsidRDefault="00C47A00" w:rsidP="00076880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>Practices use of technological and non-technological methods and tools that are available in the organization, e.g., recognizes one’s own and others’ comfort level with technological and non-technological tools; exercises patience with coworkers and clients</w:t>
            </w:r>
          </w:p>
        </w:tc>
        <w:tc>
          <w:tcPr>
            <w:tcW w:w="2158" w:type="dxa"/>
            <w:tcBorders>
              <w:top w:val="single" w:sz="48" w:space="0" w:color="012169"/>
              <w:bottom w:val="single" w:sz="2" w:space="0" w:color="auto"/>
            </w:tcBorders>
          </w:tcPr>
          <w:p w14:paraId="573F3F30" w14:textId="3348D63A" w:rsidR="00C47A00" w:rsidRPr="00851BFA" w:rsidRDefault="00C47A00" w:rsidP="00076880">
            <w:pPr>
              <w:rPr>
                <w:rFonts w:ascii="Arial" w:hAnsi="Arial" w:cs="Arial"/>
                <w:sz w:val="20"/>
                <w:szCs w:val="20"/>
              </w:rPr>
            </w:pPr>
            <w:r w:rsidRPr="00851BFA">
              <w:rPr>
                <w:rFonts w:ascii="Arial" w:hAnsi="Arial" w:cs="Arial"/>
                <w:sz w:val="20"/>
                <w:szCs w:val="20"/>
              </w:rPr>
              <w:t xml:space="preserve">Applies technological and non-technological methods/tools to communicate and collaborate in various situations, e.g. utilizes </w:t>
            </w:r>
            <w:r w:rsidR="0018295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mix of direct, interpersonal communication with electronic messaging; stays current with technologies available; tailors use of technological and non-technological tools to </w:t>
            </w:r>
            <w:r w:rsidR="0018295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51BFA">
              <w:rPr>
                <w:rFonts w:ascii="Arial" w:hAnsi="Arial" w:cs="Arial"/>
                <w:sz w:val="20"/>
                <w:szCs w:val="20"/>
              </w:rPr>
              <w:t>comfort level of coworkers/clients; scales use of technology to the audience (coworker, customer); draws upon technology skills to improve work processes, products or services</w:t>
            </w:r>
          </w:p>
        </w:tc>
        <w:tc>
          <w:tcPr>
            <w:tcW w:w="1856" w:type="dxa"/>
            <w:tcBorders>
              <w:top w:val="single" w:sz="48" w:space="0" w:color="012169"/>
              <w:bottom w:val="single" w:sz="2" w:space="0" w:color="auto"/>
            </w:tcBorders>
          </w:tcPr>
          <w:p w14:paraId="30680595" w14:textId="5D2CDED6" w:rsidR="00C47A00" w:rsidRPr="00C47A00" w:rsidRDefault="00C47A00" w:rsidP="0007688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1BFA">
              <w:rPr>
                <w:rFonts w:ascii="Arial" w:hAnsi="Arial" w:cs="Arial"/>
                <w:sz w:val="20"/>
                <w:szCs w:val="20"/>
              </w:rPr>
              <w:t>Coaches</w:t>
            </w:r>
            <w:proofErr w:type="gramEnd"/>
            <w:r w:rsidRPr="00851BFA">
              <w:rPr>
                <w:rFonts w:ascii="Arial" w:hAnsi="Arial" w:cs="Arial"/>
                <w:sz w:val="20"/>
                <w:szCs w:val="20"/>
              </w:rPr>
              <w:t xml:space="preserve"> co-workers to improve or increase technological and non-technological skills, e.g., </w:t>
            </w:r>
            <w:r w:rsidR="00182958">
              <w:rPr>
                <w:rFonts w:ascii="Arial" w:hAnsi="Arial" w:cs="Arial"/>
                <w:sz w:val="20"/>
                <w:szCs w:val="20"/>
              </w:rPr>
              <w:t>introducing</w:t>
            </w:r>
            <w:r w:rsidRPr="00851BFA">
              <w:rPr>
                <w:rFonts w:ascii="Arial" w:hAnsi="Arial" w:cs="Arial"/>
                <w:sz w:val="20"/>
                <w:szCs w:val="20"/>
              </w:rPr>
              <w:t xml:space="preserve"> new technologies into the workplace</w:t>
            </w:r>
          </w:p>
        </w:tc>
      </w:tr>
    </w:tbl>
    <w:p w14:paraId="77F807AA" w14:textId="77777777" w:rsidR="00946908" w:rsidRPr="00BE4E9F" w:rsidRDefault="00946908">
      <w:pPr>
        <w:rPr>
          <w:rFonts w:ascii="Arial" w:hAnsi="Arial" w:cs="Arial"/>
        </w:rPr>
      </w:pPr>
    </w:p>
    <w:sectPr w:rsidR="00946908" w:rsidRPr="00BE4E9F" w:rsidSect="00956ED7">
      <w:footerReference w:type="default" r:id="rId9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79B0" w14:textId="77777777" w:rsidR="005514E0" w:rsidRDefault="005514E0" w:rsidP="00455401">
      <w:pPr>
        <w:spacing w:after="0" w:line="240" w:lineRule="auto"/>
      </w:pPr>
      <w:r>
        <w:separator/>
      </w:r>
    </w:p>
  </w:endnote>
  <w:endnote w:type="continuationSeparator" w:id="0">
    <w:p w14:paraId="4C5A57D7" w14:textId="77777777" w:rsidR="005514E0" w:rsidRDefault="005514E0" w:rsidP="0045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7D26" w14:textId="2DD98047" w:rsidR="00455401" w:rsidRPr="00B44962" w:rsidRDefault="00455401" w:rsidP="00455401">
    <w:pPr>
      <w:pStyle w:val="Footer"/>
      <w:rPr>
        <w:rFonts w:ascii="Arial" w:hAnsi="Arial" w:cs="Arial"/>
        <w:sz w:val="20"/>
        <w:szCs w:val="20"/>
      </w:rPr>
    </w:pPr>
    <w:r w:rsidRPr="00B44962">
      <w:rPr>
        <w:rFonts w:ascii="Arial" w:hAnsi="Arial" w:cs="Arial"/>
        <w:b/>
        <w:bCs/>
        <w:sz w:val="20"/>
        <w:szCs w:val="20"/>
      </w:rPr>
      <w:t xml:space="preserve">Arizona </w:t>
    </w:r>
    <w:r w:rsidR="0097214B" w:rsidRPr="00F41ED5">
      <w:rPr>
        <w:rFonts w:ascii="Arial" w:hAnsi="Arial" w:cs="Arial"/>
        <w:b/>
        <w:bCs/>
        <w:sz w:val="20"/>
        <w:szCs w:val="20"/>
      </w:rPr>
      <w:t xml:space="preserve">CTE </w:t>
    </w:r>
    <w:r w:rsidRPr="00F41ED5">
      <w:rPr>
        <w:rFonts w:ascii="Arial" w:hAnsi="Arial" w:cs="Arial"/>
        <w:b/>
        <w:bCs/>
        <w:sz w:val="20"/>
        <w:szCs w:val="20"/>
      </w:rPr>
      <w:t>P</w:t>
    </w:r>
    <w:r w:rsidRPr="00B44962">
      <w:rPr>
        <w:rFonts w:ascii="Arial" w:hAnsi="Arial" w:cs="Arial"/>
        <w:b/>
        <w:bCs/>
        <w:sz w:val="20"/>
        <w:szCs w:val="20"/>
      </w:rPr>
      <w:t>rofessional Skills</w:t>
    </w:r>
    <w:r w:rsidR="00B44962">
      <w:rPr>
        <w:rFonts w:ascii="Arial" w:hAnsi="Arial" w:cs="Arial"/>
        <w:b/>
        <w:bCs/>
        <w:sz w:val="20"/>
        <w:szCs w:val="20"/>
      </w:rPr>
      <w:t xml:space="preserve"> Standards</w:t>
    </w:r>
    <w:r w:rsidRPr="00B44962"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Pr="00B44962">
      <w:rPr>
        <w:rFonts w:ascii="Arial" w:hAnsi="Arial" w:cs="Arial"/>
        <w:sz w:val="20"/>
        <w:szCs w:val="20"/>
      </w:rPr>
      <w:t xml:space="preserve"> </w:t>
    </w:r>
    <w:r w:rsidRPr="00B44962">
      <w:rPr>
        <w:rFonts w:ascii="Arial" w:hAnsi="Arial" w:cs="Arial"/>
        <w:sz w:val="20"/>
        <w:szCs w:val="20"/>
      </w:rPr>
      <w:ptab w:relativeTo="margin" w:alignment="right" w:leader="none"/>
    </w:r>
    <w:r w:rsidRPr="00B44962">
      <w:rPr>
        <w:rFonts w:ascii="Arial" w:hAnsi="Arial" w:cs="Arial"/>
        <w:sz w:val="20"/>
        <w:szCs w:val="20"/>
      </w:rPr>
      <w:t xml:space="preserve">Approved by the Arizona </w:t>
    </w:r>
    <w:r w:rsidR="00FA4EAE">
      <w:rPr>
        <w:rFonts w:ascii="Arial" w:hAnsi="Arial" w:cs="Arial"/>
        <w:sz w:val="20"/>
        <w:szCs w:val="20"/>
      </w:rPr>
      <w:t>CTE Quality</w:t>
    </w:r>
    <w:r w:rsidRPr="00B44962">
      <w:rPr>
        <w:rFonts w:ascii="Arial" w:hAnsi="Arial" w:cs="Arial"/>
        <w:sz w:val="20"/>
        <w:szCs w:val="20"/>
      </w:rPr>
      <w:t xml:space="preserve"> Commission </w:t>
    </w:r>
  </w:p>
  <w:p w14:paraId="6D8B8565" w14:textId="02D0FDF9" w:rsidR="00455401" w:rsidRDefault="00D505C3" w:rsidP="001C791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694B94" wp14:editId="3DFD9225">
              <wp:simplePos x="0" y="0"/>
              <wp:positionH relativeFrom="page">
                <wp:posOffset>915670</wp:posOffset>
              </wp:positionH>
              <wp:positionV relativeFrom="page">
                <wp:posOffset>4890135</wp:posOffset>
              </wp:positionV>
              <wp:extent cx="5935980" cy="279400"/>
              <wp:effectExtent l="127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98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5575C" w14:textId="77777777" w:rsidR="00D505C3" w:rsidRDefault="00D505C3" w:rsidP="00D505C3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t>2022 Equity practices inclusive of individuals with disabilities (Standard 6 Revision)</w:t>
                          </w:r>
                        </w:p>
                        <w:p w14:paraId="59653CFC" w14:textId="77777777" w:rsidR="00D505C3" w:rsidRDefault="00D505C3" w:rsidP="00D505C3">
                          <w:pPr>
                            <w:pStyle w:val="BodyText"/>
                            <w:spacing w:line="213" w:lineRule="exact"/>
                            <w:ind w:left="20"/>
                          </w:pPr>
                          <w:r>
                            <w:t>2018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Renamed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Arizona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94B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2.1pt;margin-top:385.05pt;width:467.4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" filled="f" stroked="f">
              <v:textbox inset="0,0,0,0">
                <w:txbxContent>
                  <w:p w14:paraId="4035575C" w14:textId="77777777" w:rsidR="00D505C3" w:rsidRDefault="00D505C3" w:rsidP="00D505C3">
                    <w:pPr>
                      <w:pStyle w:val="BodyText"/>
                      <w:spacing w:line="213" w:lineRule="exact"/>
                      <w:ind w:left="20"/>
                    </w:pPr>
                    <w:r>
                      <w:t>2022 Equity practices inclusive of individuals with disabilities (Standard 6 Revision)</w:t>
                    </w:r>
                  </w:p>
                  <w:p w14:paraId="59653CFC" w14:textId="77777777" w:rsidR="00D505C3" w:rsidRDefault="00D505C3" w:rsidP="00D505C3">
                    <w:pPr>
                      <w:pStyle w:val="BodyText"/>
                      <w:spacing w:line="213" w:lineRule="exact"/>
                      <w:ind w:left="20"/>
                    </w:pPr>
                    <w:r>
                      <w:t>2018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Renamed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Arizona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5742" w:rsidRPr="00B44962">
      <w:rPr>
        <w:rFonts w:ascii="Arial" w:hAnsi="Arial" w:cs="Arial"/>
        <w:sz w:val="20"/>
        <w:szCs w:val="20"/>
      </w:rPr>
      <w:tab/>
    </w:r>
    <w:r w:rsidR="008846BC">
      <w:rPr>
        <w:rFonts w:ascii="Arial" w:hAnsi="Arial" w:cs="Arial"/>
        <w:sz w:val="20"/>
        <w:szCs w:val="20"/>
      </w:rPr>
      <w:t xml:space="preserve">2022 </w:t>
    </w:r>
    <w:r w:rsidR="008B5742" w:rsidRPr="00B44962">
      <w:rPr>
        <w:rFonts w:ascii="Arial" w:hAnsi="Arial" w:cs="Arial"/>
        <w:sz w:val="20"/>
        <w:szCs w:val="20"/>
      </w:rPr>
      <w:tab/>
    </w:r>
    <w:r w:rsidR="008B5742" w:rsidRPr="00851BFA">
      <w:rPr>
        <w:rFonts w:ascii="Arial" w:hAnsi="Arial" w:cs="Arial"/>
        <w:sz w:val="20"/>
        <w:szCs w:val="20"/>
      </w:rPr>
      <w:t xml:space="preserve">Revised to include individuals with disabilities in </w:t>
    </w:r>
    <w:r w:rsidR="000605F8">
      <w:rPr>
        <w:rFonts w:ascii="Arial" w:hAnsi="Arial" w:cs="Arial"/>
        <w:sz w:val="20"/>
        <w:szCs w:val="20"/>
      </w:rPr>
      <w:t>Standard 6</w:t>
    </w:r>
  </w:p>
  <w:p w14:paraId="7FDAA00A" w14:textId="06F35D26" w:rsidR="00FA4EAE" w:rsidRPr="00B44962" w:rsidRDefault="008846BC" w:rsidP="001C791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2018 </w:t>
    </w:r>
    <w:r w:rsidR="00FA4EAE">
      <w:rPr>
        <w:rFonts w:ascii="Arial" w:hAnsi="Arial" w:cs="Arial"/>
        <w:sz w:val="20"/>
        <w:szCs w:val="20"/>
      </w:rPr>
      <w:t>Re</w:t>
    </w:r>
    <w:r w:rsidR="009C1723">
      <w:rPr>
        <w:rFonts w:ascii="Arial" w:hAnsi="Arial" w:cs="Arial"/>
        <w:sz w:val="20"/>
        <w:szCs w:val="20"/>
      </w:rPr>
      <w:t>vised</w:t>
    </w:r>
    <w:r w:rsidR="00FA4EAE">
      <w:rPr>
        <w:rFonts w:ascii="Arial" w:hAnsi="Arial" w:cs="Arial"/>
        <w:sz w:val="20"/>
        <w:szCs w:val="20"/>
      </w:rPr>
      <w:t xml:space="preserve"> </w:t>
    </w:r>
    <w:r w:rsidR="009C1723">
      <w:rPr>
        <w:rFonts w:ascii="Arial" w:hAnsi="Arial" w:cs="Arial"/>
        <w:sz w:val="20"/>
        <w:szCs w:val="20"/>
      </w:rPr>
      <w:t>title to Arizona CTE Professional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0A32" w14:textId="77777777" w:rsidR="005514E0" w:rsidRDefault="005514E0" w:rsidP="00455401">
      <w:pPr>
        <w:spacing w:after="0" w:line="240" w:lineRule="auto"/>
      </w:pPr>
      <w:r>
        <w:separator/>
      </w:r>
    </w:p>
  </w:footnote>
  <w:footnote w:type="continuationSeparator" w:id="0">
    <w:p w14:paraId="2FA2AF36" w14:textId="77777777" w:rsidR="005514E0" w:rsidRDefault="005514E0" w:rsidP="0045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7260"/>
    <w:multiLevelType w:val="hybridMultilevel"/>
    <w:tmpl w:val="2DC08240"/>
    <w:lvl w:ilvl="0" w:tplc="78D86A0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94265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6596C15C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73F4E59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32FE917A">
      <w:numFmt w:val="bullet"/>
      <w:lvlText w:val="•"/>
      <w:lvlJc w:val="left"/>
      <w:pPr>
        <w:ind w:left="4499" w:hanging="360"/>
      </w:pPr>
      <w:rPr>
        <w:rFonts w:hint="default"/>
        <w:lang w:val="en-US" w:eastAsia="en-US" w:bidi="ar-SA"/>
      </w:rPr>
    </w:lvl>
    <w:lvl w:ilvl="5" w:tplc="996E9B24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ar-SA"/>
      </w:rPr>
    </w:lvl>
    <w:lvl w:ilvl="6" w:tplc="18B4F35A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66A652B0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8" w:tplc="7F126172">
      <w:numFmt w:val="bullet"/>
      <w:lvlText w:val="•"/>
      <w:lvlJc w:val="left"/>
      <w:pPr>
        <w:ind w:left="81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13B64FA"/>
    <w:multiLevelType w:val="hybridMultilevel"/>
    <w:tmpl w:val="0C5C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802614">
    <w:abstractNumId w:val="0"/>
  </w:num>
  <w:num w:numId="2" w16cid:durableId="214211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B2"/>
    <w:rsid w:val="00015501"/>
    <w:rsid w:val="00021039"/>
    <w:rsid w:val="00040A91"/>
    <w:rsid w:val="00040AD6"/>
    <w:rsid w:val="00054A50"/>
    <w:rsid w:val="0005776E"/>
    <w:rsid w:val="000605F8"/>
    <w:rsid w:val="000861BB"/>
    <w:rsid w:val="00097D17"/>
    <w:rsid w:val="000A04F3"/>
    <w:rsid w:val="000B27B7"/>
    <w:rsid w:val="000B7975"/>
    <w:rsid w:val="000C5548"/>
    <w:rsid w:val="000C5FB7"/>
    <w:rsid w:val="000E12B2"/>
    <w:rsid w:val="000E3945"/>
    <w:rsid w:val="000E4F30"/>
    <w:rsid w:val="000F474F"/>
    <w:rsid w:val="0010627A"/>
    <w:rsid w:val="0012269F"/>
    <w:rsid w:val="00133416"/>
    <w:rsid w:val="001545B2"/>
    <w:rsid w:val="001716B1"/>
    <w:rsid w:val="00182958"/>
    <w:rsid w:val="00187EC5"/>
    <w:rsid w:val="00192C3C"/>
    <w:rsid w:val="001C132B"/>
    <w:rsid w:val="001C791B"/>
    <w:rsid w:val="001D2F64"/>
    <w:rsid w:val="001F5AE9"/>
    <w:rsid w:val="002542D9"/>
    <w:rsid w:val="0027504D"/>
    <w:rsid w:val="00296688"/>
    <w:rsid w:val="0032445D"/>
    <w:rsid w:val="00331215"/>
    <w:rsid w:val="00344DE3"/>
    <w:rsid w:val="00347B8E"/>
    <w:rsid w:val="003C4C68"/>
    <w:rsid w:val="003D6AE7"/>
    <w:rsid w:val="003E4640"/>
    <w:rsid w:val="00442A5D"/>
    <w:rsid w:val="00444802"/>
    <w:rsid w:val="0045480D"/>
    <w:rsid w:val="00455401"/>
    <w:rsid w:val="004653CF"/>
    <w:rsid w:val="00480898"/>
    <w:rsid w:val="00483672"/>
    <w:rsid w:val="004A0BD7"/>
    <w:rsid w:val="004C5485"/>
    <w:rsid w:val="004C75EC"/>
    <w:rsid w:val="004D60AC"/>
    <w:rsid w:val="004E1929"/>
    <w:rsid w:val="004F1D7C"/>
    <w:rsid w:val="004F77EB"/>
    <w:rsid w:val="005423BF"/>
    <w:rsid w:val="005514E0"/>
    <w:rsid w:val="00551F90"/>
    <w:rsid w:val="00580331"/>
    <w:rsid w:val="005D35CD"/>
    <w:rsid w:val="005E0553"/>
    <w:rsid w:val="005E2AE0"/>
    <w:rsid w:val="005E2AF4"/>
    <w:rsid w:val="00613AAB"/>
    <w:rsid w:val="00614630"/>
    <w:rsid w:val="00640805"/>
    <w:rsid w:val="00651D63"/>
    <w:rsid w:val="00655F18"/>
    <w:rsid w:val="00686DD9"/>
    <w:rsid w:val="006879C4"/>
    <w:rsid w:val="00695096"/>
    <w:rsid w:val="006D622B"/>
    <w:rsid w:val="006E0281"/>
    <w:rsid w:val="00700070"/>
    <w:rsid w:val="0070078E"/>
    <w:rsid w:val="00715608"/>
    <w:rsid w:val="007218C7"/>
    <w:rsid w:val="00741682"/>
    <w:rsid w:val="0075130E"/>
    <w:rsid w:val="00765937"/>
    <w:rsid w:val="007C3542"/>
    <w:rsid w:val="007D403F"/>
    <w:rsid w:val="007D6A89"/>
    <w:rsid w:val="00825A67"/>
    <w:rsid w:val="008430A5"/>
    <w:rsid w:val="00843F73"/>
    <w:rsid w:val="00844771"/>
    <w:rsid w:val="00851BFA"/>
    <w:rsid w:val="00855853"/>
    <w:rsid w:val="00870774"/>
    <w:rsid w:val="00873C91"/>
    <w:rsid w:val="008846BC"/>
    <w:rsid w:val="008B28D7"/>
    <w:rsid w:val="008B5742"/>
    <w:rsid w:val="008C4C7C"/>
    <w:rsid w:val="008D3E7C"/>
    <w:rsid w:val="008F6F1B"/>
    <w:rsid w:val="00900423"/>
    <w:rsid w:val="0090256C"/>
    <w:rsid w:val="00914586"/>
    <w:rsid w:val="00946908"/>
    <w:rsid w:val="00955A04"/>
    <w:rsid w:val="00956ED7"/>
    <w:rsid w:val="00957FA3"/>
    <w:rsid w:val="0097214B"/>
    <w:rsid w:val="0098527A"/>
    <w:rsid w:val="009B7865"/>
    <w:rsid w:val="009C1723"/>
    <w:rsid w:val="009D1798"/>
    <w:rsid w:val="009E117D"/>
    <w:rsid w:val="009E750C"/>
    <w:rsid w:val="009F0985"/>
    <w:rsid w:val="009F56FA"/>
    <w:rsid w:val="00A11D38"/>
    <w:rsid w:val="00A12F83"/>
    <w:rsid w:val="00A374E0"/>
    <w:rsid w:val="00A45320"/>
    <w:rsid w:val="00AC5D1D"/>
    <w:rsid w:val="00AE2D6B"/>
    <w:rsid w:val="00B12A36"/>
    <w:rsid w:val="00B22356"/>
    <w:rsid w:val="00B26057"/>
    <w:rsid w:val="00B44962"/>
    <w:rsid w:val="00B54894"/>
    <w:rsid w:val="00B70C95"/>
    <w:rsid w:val="00B82B2A"/>
    <w:rsid w:val="00B9214C"/>
    <w:rsid w:val="00BC0976"/>
    <w:rsid w:val="00BC1873"/>
    <w:rsid w:val="00BE4E9F"/>
    <w:rsid w:val="00BF13B4"/>
    <w:rsid w:val="00C046A0"/>
    <w:rsid w:val="00C1063F"/>
    <w:rsid w:val="00C20C80"/>
    <w:rsid w:val="00C47A00"/>
    <w:rsid w:val="00C72F11"/>
    <w:rsid w:val="00C760A7"/>
    <w:rsid w:val="00CB68FB"/>
    <w:rsid w:val="00CF33BC"/>
    <w:rsid w:val="00D110E0"/>
    <w:rsid w:val="00D22C05"/>
    <w:rsid w:val="00D35BDB"/>
    <w:rsid w:val="00D36F9E"/>
    <w:rsid w:val="00D505C3"/>
    <w:rsid w:val="00D91B57"/>
    <w:rsid w:val="00D96881"/>
    <w:rsid w:val="00DA534F"/>
    <w:rsid w:val="00DC4888"/>
    <w:rsid w:val="00DC5016"/>
    <w:rsid w:val="00DD6A9E"/>
    <w:rsid w:val="00E27E93"/>
    <w:rsid w:val="00E327F8"/>
    <w:rsid w:val="00E47D01"/>
    <w:rsid w:val="00E528B7"/>
    <w:rsid w:val="00E771D2"/>
    <w:rsid w:val="00E95179"/>
    <w:rsid w:val="00EB481C"/>
    <w:rsid w:val="00EC03AB"/>
    <w:rsid w:val="00EC0D5F"/>
    <w:rsid w:val="00EF29AB"/>
    <w:rsid w:val="00F359A8"/>
    <w:rsid w:val="00F41ED5"/>
    <w:rsid w:val="00F445F4"/>
    <w:rsid w:val="00F82AE0"/>
    <w:rsid w:val="00FA45E5"/>
    <w:rsid w:val="00FA4EAE"/>
    <w:rsid w:val="00FE1356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356CAF"/>
  <w15:chartTrackingRefBased/>
  <w15:docId w15:val="{AA6D6BA8-6349-43B1-AD79-A8F6EAD4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01"/>
  </w:style>
  <w:style w:type="paragraph" w:styleId="Footer">
    <w:name w:val="footer"/>
    <w:basedOn w:val="Normal"/>
    <w:link w:val="FooterChar"/>
    <w:uiPriority w:val="99"/>
    <w:unhideWhenUsed/>
    <w:rsid w:val="0045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01"/>
  </w:style>
  <w:style w:type="paragraph" w:customStyle="1" w:styleId="TableParagraph">
    <w:name w:val="Table Paragraph"/>
    <w:basedOn w:val="Normal"/>
    <w:uiPriority w:val="1"/>
    <w:qFormat/>
    <w:rsid w:val="003C4C68"/>
    <w:pPr>
      <w:widowControl w:val="0"/>
      <w:autoSpaceDE w:val="0"/>
      <w:autoSpaceDN w:val="0"/>
      <w:spacing w:after="0" w:line="240" w:lineRule="auto"/>
      <w:ind w:left="832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6E02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4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505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505C3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989E-6722-4C18-B958-1A2BE5D1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Hardy</dc:creator>
  <cp:keywords/>
  <dc:description/>
  <cp:lastModifiedBy>Shumate, Julie</cp:lastModifiedBy>
  <cp:revision>2</cp:revision>
  <dcterms:created xsi:type="dcterms:W3CDTF">2022-08-29T18:10:00Z</dcterms:created>
  <dcterms:modified xsi:type="dcterms:W3CDTF">2022-08-29T18:10:00Z</dcterms:modified>
</cp:coreProperties>
</file>