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45CFB" w14:textId="352195DA" w:rsidR="00545207" w:rsidRPr="003F7BA8" w:rsidRDefault="00E81196" w:rsidP="003F7BA8">
      <w:pPr>
        <w:pStyle w:val="Heading1"/>
      </w:pPr>
      <w:r w:rsidRPr="003F7BA8">
        <w:t>Public Education Agency (PEA) Determinations Federal Fiscal Year 2019 Appeal Form</w:t>
      </w:r>
    </w:p>
    <w:p w14:paraId="1F6C2764" w14:textId="6FEF7F55" w:rsidR="00E81196" w:rsidRDefault="00E81196" w:rsidP="00E81196">
      <w:pPr>
        <w:rPr>
          <w:noProof/>
        </w:rPr>
      </w:pPr>
      <w:r>
        <w:rPr>
          <w:noProof/>
        </w:rPr>
        <w:t xml:space="preserve">Under Section 616 of the Individuals with Disabilities Education Act (IDEA), States are required to make a determination for all public education agencies (PEAs) </w:t>
      </w:r>
      <w:r w:rsidR="008F04F2">
        <w:rPr>
          <w:noProof/>
        </w:rPr>
        <w:t>bas</w:t>
      </w:r>
      <w:r w:rsidR="007B5C04">
        <w:rPr>
          <w:noProof/>
        </w:rPr>
        <w:t>ed on</w:t>
      </w:r>
      <w:r w:rsidR="008F04F2">
        <w:rPr>
          <w:noProof/>
        </w:rPr>
        <w:t xml:space="preserve"> </w:t>
      </w:r>
      <w:r>
        <w:rPr>
          <w:noProof/>
        </w:rPr>
        <w:t xml:space="preserve">their performance on identified special education criteria. The Federal Fiscal Year 2019 determination was posted online at the PEA Determinations website at </w:t>
      </w:r>
      <w:hyperlink r:id="rId11" w:history="1">
        <w:r w:rsidRPr="00AA41E9">
          <w:rPr>
            <w:rStyle w:val="Hyperlink"/>
            <w:noProof/>
          </w:rPr>
          <w:t>http://www.azed.gov/specialeducation/pea-determinations/</w:t>
        </w:r>
      </w:hyperlink>
      <w:r>
        <w:rPr>
          <w:noProof/>
        </w:rPr>
        <w:t xml:space="preserve">. </w:t>
      </w:r>
    </w:p>
    <w:p w14:paraId="31313CBF" w14:textId="77777777" w:rsidR="00E81196" w:rsidRDefault="00E81196" w:rsidP="00E81196">
      <w:pPr>
        <w:rPr>
          <w:noProof/>
        </w:rPr>
      </w:pPr>
    </w:p>
    <w:p w14:paraId="200215DF" w14:textId="5A1277FA" w:rsidR="00E81196" w:rsidRDefault="00E81196" w:rsidP="00E81196">
      <w:pPr>
        <w:rPr>
          <w:noProof/>
        </w:rPr>
      </w:pPr>
      <w:r>
        <w:rPr>
          <w:noProof/>
        </w:rPr>
        <w:t>The determination is final unless your agency appeals by June 30, 2021. A written appeal may be filed if the PEA has documentation that shows the data used to issue the determination are inaccurate. If the PEA submitted inaccurate data and did not correct the data when given the opportunity by the Arizona Department of Education/Exceptional Student Services (ADE/ESS), then the Determination level will not be changed, regardless of the appeal.</w:t>
      </w:r>
    </w:p>
    <w:p w14:paraId="11919ED8" w14:textId="77777777" w:rsidR="00E81196" w:rsidRDefault="00E81196" w:rsidP="00E81196">
      <w:pPr>
        <w:rPr>
          <w:noProof/>
        </w:rPr>
      </w:pPr>
    </w:p>
    <w:p w14:paraId="0B0DD957" w14:textId="1A8782F6" w:rsidR="00E81196" w:rsidRDefault="00E81196" w:rsidP="00E81196">
      <w:pPr>
        <w:rPr>
          <w:noProof/>
        </w:rPr>
      </w:pPr>
      <w:r>
        <w:rPr>
          <w:noProof/>
        </w:rPr>
        <w:t>Use this PEA Determination Appeal Form to submit within the given timeline. Upon receipt of the appeal, the ADE/ESS will review and give a written response within 30 days. If the appeal is granted, the ADE/ESS will issue a final determination within 30 days of the written response.</w:t>
      </w:r>
    </w:p>
    <w:p w14:paraId="5BB7DD93" w14:textId="77777777" w:rsidR="00E81196" w:rsidRDefault="00E81196" w:rsidP="00E81196">
      <w:pPr>
        <w:rPr>
          <w:noProof/>
        </w:rPr>
      </w:pPr>
    </w:p>
    <w:p w14:paraId="2D57A377" w14:textId="53100807" w:rsidR="00E81196" w:rsidRDefault="00E81196" w:rsidP="00E81196">
      <w:pPr>
        <w:rPr>
          <w:noProof/>
        </w:rPr>
      </w:pPr>
      <w:r>
        <w:rPr>
          <w:noProof/>
        </w:rPr>
        <w:t xml:space="preserve">Contact the ESS Operations unit at </w:t>
      </w:r>
      <w:hyperlink r:id="rId12" w:history="1">
        <w:r w:rsidRPr="00AA41E9">
          <w:rPr>
            <w:rStyle w:val="Hyperlink"/>
            <w:noProof/>
          </w:rPr>
          <w:t>ESSOperations@azed.gov</w:t>
        </w:r>
      </w:hyperlink>
      <w:r>
        <w:rPr>
          <w:noProof/>
        </w:rPr>
        <w:t xml:space="preserve"> with questions.</w:t>
      </w:r>
    </w:p>
    <w:p w14:paraId="1626E34D" w14:textId="77777777" w:rsidR="00E81196" w:rsidRPr="003F7BA8" w:rsidRDefault="00E81196" w:rsidP="003F7BA8">
      <w:pPr>
        <w:pStyle w:val="Heading2"/>
      </w:pPr>
      <w:r w:rsidRPr="003F7BA8">
        <w:t>Instructions</w:t>
      </w:r>
    </w:p>
    <w:p w14:paraId="139EBF92" w14:textId="54E05A1D" w:rsidR="00D72379" w:rsidRDefault="00E81196" w:rsidP="00E81196">
      <w:pPr>
        <w:rPr>
          <w:noProof/>
        </w:rPr>
      </w:pPr>
      <w:r>
        <w:rPr>
          <w:noProof/>
        </w:rPr>
        <w:t xml:space="preserve">Complete all the information in both tables and send documentation to support the appeal by June 30, 2021. Email this completed form and supporting documentation to ESS Operations at </w:t>
      </w:r>
      <w:hyperlink r:id="rId13" w:history="1">
        <w:r w:rsidRPr="00AA41E9">
          <w:rPr>
            <w:rStyle w:val="Hyperlink"/>
            <w:noProof/>
          </w:rPr>
          <w:t>ESSOperations@azed.gov</w:t>
        </w:r>
      </w:hyperlink>
      <w:r>
        <w:rPr>
          <w:noProof/>
        </w:rPr>
        <w:t>.</w:t>
      </w:r>
    </w:p>
    <w:p w14:paraId="3335A14D" w14:textId="7A099839" w:rsidR="00D72379" w:rsidRDefault="00D72379" w:rsidP="00BB1C72">
      <w:pPr>
        <w:rPr>
          <w:noProof/>
        </w:rPr>
      </w:pPr>
    </w:p>
    <w:tbl>
      <w:tblPr>
        <w:tblStyle w:val="TableGrid"/>
        <w:tblW w:w="0" w:type="auto"/>
        <w:tblBorders>
          <w:top w:val="inset" w:sz="4" w:space="0" w:color="auto"/>
          <w:left w:val="inset" w:sz="4" w:space="0" w:color="auto"/>
          <w:bottom w:val="inset" w:sz="4" w:space="0" w:color="auto"/>
          <w:right w:val="inset" w:sz="4" w:space="0" w:color="auto"/>
          <w:insideH w:val="inset" w:sz="4" w:space="0" w:color="auto"/>
          <w:insideV w:val="inset" w:sz="4" w:space="0" w:color="auto"/>
        </w:tblBorders>
        <w:tblCellMar>
          <w:left w:w="115" w:type="dxa"/>
          <w:right w:w="115" w:type="dxa"/>
        </w:tblCellMar>
        <w:tblLook w:val="04A0" w:firstRow="1" w:lastRow="0" w:firstColumn="1" w:lastColumn="0" w:noHBand="0" w:noVBand="1"/>
      </w:tblPr>
      <w:tblGrid>
        <w:gridCol w:w="2695"/>
        <w:gridCol w:w="6535"/>
      </w:tblGrid>
      <w:tr w:rsidR="00E81196" w:rsidRPr="00E81196" w14:paraId="28F6A3BC" w14:textId="77777777" w:rsidTr="00E81196">
        <w:tc>
          <w:tcPr>
            <w:tcW w:w="2695" w:type="dxa"/>
            <w:vAlign w:val="center"/>
          </w:tcPr>
          <w:p w14:paraId="6AB201EF" w14:textId="77777777" w:rsidR="00E81196" w:rsidRPr="00E81196" w:rsidRDefault="00E81196" w:rsidP="00E81196">
            <w:pPr>
              <w:rPr>
                <w:b/>
                <w:noProof/>
              </w:rPr>
            </w:pPr>
            <w:r w:rsidRPr="00E81196">
              <w:rPr>
                <w:b/>
                <w:noProof/>
              </w:rPr>
              <w:t>Date</w:t>
            </w:r>
          </w:p>
        </w:tc>
        <w:tc>
          <w:tcPr>
            <w:tcW w:w="6535" w:type="dxa"/>
            <w:vAlign w:val="center"/>
          </w:tcPr>
          <w:p w14:paraId="4A012509" w14:textId="77777777" w:rsidR="00E81196" w:rsidRPr="00E81196" w:rsidRDefault="00E81196" w:rsidP="00E81196">
            <w:pPr>
              <w:rPr>
                <w:noProof/>
              </w:rPr>
            </w:pPr>
          </w:p>
        </w:tc>
      </w:tr>
      <w:tr w:rsidR="00E81196" w:rsidRPr="00E81196" w14:paraId="55CABF22" w14:textId="77777777" w:rsidTr="00E81196">
        <w:tc>
          <w:tcPr>
            <w:tcW w:w="2695" w:type="dxa"/>
            <w:vAlign w:val="center"/>
          </w:tcPr>
          <w:p w14:paraId="18F4387E" w14:textId="77777777" w:rsidR="00E81196" w:rsidRPr="00E81196" w:rsidRDefault="00E81196" w:rsidP="00E81196">
            <w:pPr>
              <w:rPr>
                <w:b/>
                <w:noProof/>
              </w:rPr>
            </w:pPr>
            <w:r w:rsidRPr="00E81196">
              <w:rPr>
                <w:b/>
                <w:noProof/>
              </w:rPr>
              <w:t>PEA Name</w:t>
            </w:r>
          </w:p>
        </w:tc>
        <w:tc>
          <w:tcPr>
            <w:tcW w:w="6535" w:type="dxa"/>
            <w:vAlign w:val="center"/>
          </w:tcPr>
          <w:p w14:paraId="6C280167" w14:textId="77777777" w:rsidR="00E81196" w:rsidRPr="00E81196" w:rsidRDefault="00E81196" w:rsidP="00E81196">
            <w:pPr>
              <w:rPr>
                <w:noProof/>
              </w:rPr>
            </w:pPr>
          </w:p>
        </w:tc>
      </w:tr>
      <w:tr w:rsidR="00E81196" w:rsidRPr="00E81196" w14:paraId="2AAA781A" w14:textId="77777777" w:rsidTr="00E81196">
        <w:tc>
          <w:tcPr>
            <w:tcW w:w="2695" w:type="dxa"/>
            <w:vAlign w:val="center"/>
          </w:tcPr>
          <w:p w14:paraId="5E1358C9" w14:textId="47A43603" w:rsidR="00E81196" w:rsidRPr="00E81196" w:rsidRDefault="00E81196" w:rsidP="00E81196">
            <w:pPr>
              <w:rPr>
                <w:b/>
                <w:noProof/>
              </w:rPr>
            </w:pPr>
            <w:r>
              <w:rPr>
                <w:b/>
                <w:noProof/>
              </w:rPr>
              <w:t>Entity ID</w:t>
            </w:r>
          </w:p>
        </w:tc>
        <w:tc>
          <w:tcPr>
            <w:tcW w:w="6535" w:type="dxa"/>
            <w:vAlign w:val="center"/>
          </w:tcPr>
          <w:p w14:paraId="27420444" w14:textId="77777777" w:rsidR="00E81196" w:rsidRPr="00E81196" w:rsidRDefault="00E81196" w:rsidP="00E81196">
            <w:pPr>
              <w:rPr>
                <w:noProof/>
              </w:rPr>
            </w:pPr>
          </w:p>
        </w:tc>
      </w:tr>
      <w:tr w:rsidR="00E81196" w:rsidRPr="00E81196" w14:paraId="134C5AE1" w14:textId="77777777" w:rsidTr="00E81196">
        <w:tc>
          <w:tcPr>
            <w:tcW w:w="2695" w:type="dxa"/>
            <w:vAlign w:val="center"/>
          </w:tcPr>
          <w:p w14:paraId="68CE374A" w14:textId="77777777" w:rsidR="00E81196" w:rsidRPr="00E81196" w:rsidRDefault="00E81196" w:rsidP="00E81196">
            <w:pPr>
              <w:rPr>
                <w:b/>
                <w:noProof/>
              </w:rPr>
            </w:pPr>
            <w:r w:rsidRPr="00E81196">
              <w:rPr>
                <w:b/>
                <w:noProof/>
              </w:rPr>
              <w:t>Contact Name and Title</w:t>
            </w:r>
          </w:p>
        </w:tc>
        <w:tc>
          <w:tcPr>
            <w:tcW w:w="6535" w:type="dxa"/>
            <w:vAlign w:val="center"/>
          </w:tcPr>
          <w:p w14:paraId="4A2BF46A" w14:textId="77777777" w:rsidR="00E81196" w:rsidRPr="00E81196" w:rsidRDefault="00E81196" w:rsidP="00E81196">
            <w:pPr>
              <w:rPr>
                <w:noProof/>
              </w:rPr>
            </w:pPr>
          </w:p>
        </w:tc>
      </w:tr>
      <w:tr w:rsidR="00E81196" w:rsidRPr="00E81196" w14:paraId="0688C68A" w14:textId="77777777" w:rsidTr="00E81196">
        <w:tc>
          <w:tcPr>
            <w:tcW w:w="2695" w:type="dxa"/>
            <w:vAlign w:val="center"/>
          </w:tcPr>
          <w:p w14:paraId="73473171" w14:textId="77777777" w:rsidR="00E81196" w:rsidRPr="00E81196" w:rsidRDefault="00E81196" w:rsidP="00E81196">
            <w:pPr>
              <w:rPr>
                <w:b/>
                <w:noProof/>
              </w:rPr>
            </w:pPr>
            <w:r w:rsidRPr="00E81196">
              <w:rPr>
                <w:b/>
                <w:noProof/>
              </w:rPr>
              <w:t>Contact Phone Number</w:t>
            </w:r>
          </w:p>
        </w:tc>
        <w:tc>
          <w:tcPr>
            <w:tcW w:w="6535" w:type="dxa"/>
            <w:vAlign w:val="center"/>
          </w:tcPr>
          <w:p w14:paraId="0D40B5BD" w14:textId="77777777" w:rsidR="00E81196" w:rsidRPr="00E81196" w:rsidRDefault="00E81196" w:rsidP="00E81196">
            <w:pPr>
              <w:rPr>
                <w:noProof/>
              </w:rPr>
            </w:pPr>
          </w:p>
        </w:tc>
      </w:tr>
      <w:tr w:rsidR="00E81196" w:rsidRPr="00E81196" w14:paraId="7DE2F5A8" w14:textId="77777777" w:rsidTr="00E81196">
        <w:tc>
          <w:tcPr>
            <w:tcW w:w="2695" w:type="dxa"/>
            <w:vAlign w:val="center"/>
          </w:tcPr>
          <w:p w14:paraId="48355C6C" w14:textId="77777777" w:rsidR="00E81196" w:rsidRPr="00E81196" w:rsidRDefault="00E81196" w:rsidP="00E81196">
            <w:pPr>
              <w:rPr>
                <w:b/>
                <w:noProof/>
              </w:rPr>
            </w:pPr>
            <w:r w:rsidRPr="00E81196">
              <w:rPr>
                <w:b/>
                <w:noProof/>
              </w:rPr>
              <w:t>Contact E-mail</w:t>
            </w:r>
          </w:p>
        </w:tc>
        <w:tc>
          <w:tcPr>
            <w:tcW w:w="6535" w:type="dxa"/>
            <w:vAlign w:val="center"/>
          </w:tcPr>
          <w:p w14:paraId="42276F3B" w14:textId="77777777" w:rsidR="00E81196" w:rsidRPr="00E81196" w:rsidRDefault="00E81196" w:rsidP="00E81196">
            <w:pPr>
              <w:rPr>
                <w:noProof/>
              </w:rPr>
            </w:pPr>
          </w:p>
        </w:tc>
      </w:tr>
    </w:tbl>
    <w:p w14:paraId="5D21C9CD" w14:textId="797C4695" w:rsidR="00E81196" w:rsidRDefault="00E81196" w:rsidP="00BB1C72">
      <w:pPr>
        <w:rPr>
          <w:noProof/>
        </w:rPr>
      </w:pPr>
    </w:p>
    <w:p w14:paraId="2FACC0C2" w14:textId="77777777" w:rsidR="00E81196" w:rsidRDefault="00E81196">
      <w:pPr>
        <w:spacing w:after="160" w:line="259" w:lineRule="auto"/>
        <w:rPr>
          <w:noProof/>
        </w:rPr>
      </w:pPr>
      <w:r>
        <w:rPr>
          <w:noProof/>
        </w:rPr>
        <w:br w:type="page"/>
      </w:r>
    </w:p>
    <w:tbl>
      <w:tblPr>
        <w:tblStyle w:val="TableGrid"/>
        <w:tblW w:w="5000" w:type="pct"/>
        <w:tblBorders>
          <w:top w:val="inset" w:sz="4" w:space="0" w:color="auto"/>
          <w:left w:val="inset" w:sz="4" w:space="0" w:color="auto"/>
          <w:bottom w:val="inset" w:sz="4" w:space="0" w:color="auto"/>
          <w:right w:val="inset" w:sz="4" w:space="0" w:color="auto"/>
          <w:insideH w:val="inset" w:sz="4" w:space="0" w:color="auto"/>
          <w:insideV w:val="inset" w:sz="4" w:space="0" w:color="auto"/>
        </w:tblBorders>
        <w:tblCellMar>
          <w:left w:w="115" w:type="dxa"/>
          <w:right w:w="115" w:type="dxa"/>
        </w:tblCellMar>
        <w:tblLook w:val="04A0" w:firstRow="1" w:lastRow="0" w:firstColumn="1" w:lastColumn="0" w:noHBand="0" w:noVBand="1"/>
      </w:tblPr>
      <w:tblGrid>
        <w:gridCol w:w="2966"/>
        <w:gridCol w:w="6384"/>
      </w:tblGrid>
      <w:tr w:rsidR="00E81196" w:rsidRPr="00442E0A" w14:paraId="507DC5D6" w14:textId="77777777" w:rsidTr="00E81196">
        <w:trPr>
          <w:cantSplit/>
          <w:trHeight w:val="266"/>
        </w:trPr>
        <w:tc>
          <w:tcPr>
            <w:tcW w:w="1586" w:type="pct"/>
          </w:tcPr>
          <w:p w14:paraId="2B6A07FC" w14:textId="77777777" w:rsidR="00E81196" w:rsidRPr="00442E0A" w:rsidRDefault="00E81196" w:rsidP="00E81196">
            <w:pPr>
              <w:spacing w:after="160" w:line="259" w:lineRule="auto"/>
              <w:rPr>
                <w:b/>
              </w:rPr>
            </w:pPr>
            <w:r w:rsidRPr="00442E0A">
              <w:lastRenderedPageBreak/>
              <w:br w:type="page"/>
            </w:r>
            <w:r w:rsidRPr="00442E0A">
              <w:rPr>
                <w:b/>
              </w:rPr>
              <w:t>Name of Component</w:t>
            </w:r>
          </w:p>
        </w:tc>
        <w:tc>
          <w:tcPr>
            <w:tcW w:w="3414" w:type="pct"/>
          </w:tcPr>
          <w:p w14:paraId="1DC1241E" w14:textId="77777777" w:rsidR="00E81196" w:rsidRPr="00442E0A" w:rsidRDefault="00E81196" w:rsidP="00E81196">
            <w:pPr>
              <w:spacing w:after="160" w:line="259" w:lineRule="auto"/>
              <w:rPr>
                <w:b/>
              </w:rPr>
            </w:pPr>
            <w:r w:rsidRPr="00442E0A">
              <w:rPr>
                <w:b/>
              </w:rPr>
              <w:t>Reason for Appeal</w:t>
            </w:r>
          </w:p>
        </w:tc>
      </w:tr>
      <w:tr w:rsidR="00E81196" w:rsidRPr="00442E0A" w14:paraId="7C50A11B" w14:textId="77777777" w:rsidTr="00E81196">
        <w:trPr>
          <w:cantSplit/>
          <w:trHeight w:val="1265"/>
        </w:trPr>
        <w:tc>
          <w:tcPr>
            <w:tcW w:w="1586" w:type="pct"/>
          </w:tcPr>
          <w:p w14:paraId="041B81FB" w14:textId="77777777" w:rsidR="00E81196" w:rsidRPr="00442E0A" w:rsidRDefault="00E81196" w:rsidP="00E81196">
            <w:pPr>
              <w:spacing w:after="160" w:line="259" w:lineRule="auto"/>
            </w:pPr>
            <w:r w:rsidRPr="00442E0A">
              <w:t>Preschool transition by third birthday</w:t>
            </w:r>
          </w:p>
        </w:tc>
        <w:tc>
          <w:tcPr>
            <w:tcW w:w="3414" w:type="pct"/>
          </w:tcPr>
          <w:p w14:paraId="2E56287E" w14:textId="77777777" w:rsidR="00E81196" w:rsidRPr="00442E0A" w:rsidRDefault="00E81196" w:rsidP="00E81196">
            <w:pPr>
              <w:spacing w:after="160" w:line="259" w:lineRule="auto"/>
            </w:pPr>
          </w:p>
        </w:tc>
      </w:tr>
      <w:tr w:rsidR="00E81196" w:rsidRPr="00442E0A" w14:paraId="5DD26CFB" w14:textId="77777777" w:rsidTr="00E81196">
        <w:trPr>
          <w:cantSplit/>
          <w:trHeight w:val="796"/>
        </w:trPr>
        <w:tc>
          <w:tcPr>
            <w:tcW w:w="1586" w:type="pct"/>
          </w:tcPr>
          <w:p w14:paraId="3C4189E9" w14:textId="77777777" w:rsidR="00E81196" w:rsidRPr="00442E0A" w:rsidRDefault="00E81196" w:rsidP="00E81196">
            <w:pPr>
              <w:spacing w:after="160" w:line="259" w:lineRule="auto"/>
            </w:pPr>
            <w:r w:rsidRPr="00442E0A">
              <w:t>Evaluation timeline</w:t>
            </w:r>
          </w:p>
        </w:tc>
        <w:tc>
          <w:tcPr>
            <w:tcW w:w="3414" w:type="pct"/>
          </w:tcPr>
          <w:p w14:paraId="39548849" w14:textId="77777777" w:rsidR="00E81196" w:rsidRPr="00442E0A" w:rsidRDefault="00E81196" w:rsidP="00E81196">
            <w:pPr>
              <w:spacing w:after="160" w:line="259" w:lineRule="auto"/>
            </w:pPr>
          </w:p>
        </w:tc>
      </w:tr>
      <w:tr w:rsidR="00E81196" w:rsidRPr="00442E0A" w14:paraId="04358317" w14:textId="77777777" w:rsidTr="00E81196">
        <w:trPr>
          <w:cantSplit/>
          <w:trHeight w:val="1787"/>
        </w:trPr>
        <w:tc>
          <w:tcPr>
            <w:tcW w:w="1586" w:type="pct"/>
          </w:tcPr>
          <w:p w14:paraId="6CABC7DA" w14:textId="77777777" w:rsidR="00E81196" w:rsidRPr="00442E0A" w:rsidRDefault="00E81196" w:rsidP="00E81196">
            <w:pPr>
              <w:spacing w:after="160" w:line="259" w:lineRule="auto"/>
            </w:pPr>
            <w:r w:rsidRPr="00442E0A">
              <w:t>Significant discrepancy in rate of suspensions and expulsions by race/ethnicity</w:t>
            </w:r>
          </w:p>
        </w:tc>
        <w:tc>
          <w:tcPr>
            <w:tcW w:w="3414" w:type="pct"/>
          </w:tcPr>
          <w:p w14:paraId="151EDAE7" w14:textId="77777777" w:rsidR="00E81196" w:rsidRPr="00442E0A" w:rsidRDefault="00E81196" w:rsidP="00E81196">
            <w:pPr>
              <w:spacing w:after="160" w:line="259" w:lineRule="auto"/>
            </w:pPr>
          </w:p>
        </w:tc>
      </w:tr>
      <w:tr w:rsidR="00E81196" w:rsidRPr="00442E0A" w14:paraId="3C4A7F85" w14:textId="77777777" w:rsidTr="00E81196">
        <w:trPr>
          <w:cantSplit/>
          <w:trHeight w:val="1265"/>
        </w:trPr>
        <w:tc>
          <w:tcPr>
            <w:tcW w:w="1586" w:type="pct"/>
          </w:tcPr>
          <w:p w14:paraId="13F2C12E" w14:textId="77777777" w:rsidR="00E81196" w:rsidRPr="00442E0A" w:rsidRDefault="00E81196" w:rsidP="00E81196">
            <w:pPr>
              <w:spacing w:after="160" w:line="259" w:lineRule="auto"/>
            </w:pPr>
            <w:r w:rsidRPr="00442E0A">
              <w:t>Racial/ethnic disproportionality</w:t>
            </w:r>
          </w:p>
        </w:tc>
        <w:tc>
          <w:tcPr>
            <w:tcW w:w="3414" w:type="pct"/>
          </w:tcPr>
          <w:p w14:paraId="62E9C18C" w14:textId="77777777" w:rsidR="00E81196" w:rsidRPr="00442E0A" w:rsidRDefault="00E81196" w:rsidP="00E81196">
            <w:pPr>
              <w:spacing w:after="160" w:line="259" w:lineRule="auto"/>
            </w:pPr>
          </w:p>
        </w:tc>
      </w:tr>
      <w:tr w:rsidR="00E81196" w:rsidRPr="00442E0A" w14:paraId="6E2C937E" w14:textId="77777777" w:rsidTr="00E81196">
        <w:trPr>
          <w:cantSplit/>
          <w:trHeight w:val="1787"/>
        </w:trPr>
        <w:tc>
          <w:tcPr>
            <w:tcW w:w="1586" w:type="pct"/>
          </w:tcPr>
          <w:p w14:paraId="110AF6FF" w14:textId="77777777" w:rsidR="00E81196" w:rsidRPr="00442E0A" w:rsidRDefault="00E81196" w:rsidP="00E81196">
            <w:pPr>
              <w:spacing w:after="160" w:line="259" w:lineRule="auto"/>
            </w:pPr>
            <w:r w:rsidRPr="00442E0A">
              <w:t>Racial/ethnic disproportionality by disability</w:t>
            </w:r>
          </w:p>
        </w:tc>
        <w:tc>
          <w:tcPr>
            <w:tcW w:w="3414" w:type="pct"/>
          </w:tcPr>
          <w:p w14:paraId="6CB25AC4" w14:textId="77777777" w:rsidR="00E81196" w:rsidRPr="00442E0A" w:rsidRDefault="00E81196" w:rsidP="00E81196">
            <w:pPr>
              <w:spacing w:after="160" w:line="259" w:lineRule="auto"/>
            </w:pPr>
          </w:p>
        </w:tc>
      </w:tr>
      <w:tr w:rsidR="00E81196" w:rsidRPr="00442E0A" w14:paraId="514134B0" w14:textId="77777777" w:rsidTr="00E81196">
        <w:trPr>
          <w:cantSplit/>
          <w:trHeight w:val="796"/>
        </w:trPr>
        <w:tc>
          <w:tcPr>
            <w:tcW w:w="1586" w:type="pct"/>
          </w:tcPr>
          <w:p w14:paraId="3F232E87" w14:textId="77777777" w:rsidR="00E81196" w:rsidRPr="00442E0A" w:rsidRDefault="00E81196" w:rsidP="00E81196">
            <w:pPr>
              <w:spacing w:after="160" w:line="259" w:lineRule="auto"/>
            </w:pPr>
            <w:r w:rsidRPr="00442E0A">
              <w:t>Secondary transition</w:t>
            </w:r>
          </w:p>
        </w:tc>
        <w:tc>
          <w:tcPr>
            <w:tcW w:w="3414" w:type="pct"/>
          </w:tcPr>
          <w:p w14:paraId="43BCBE4B" w14:textId="77777777" w:rsidR="00E81196" w:rsidRPr="00442E0A" w:rsidRDefault="00E81196" w:rsidP="00E81196">
            <w:pPr>
              <w:spacing w:after="160" w:line="259" w:lineRule="auto"/>
            </w:pPr>
          </w:p>
        </w:tc>
      </w:tr>
      <w:tr w:rsidR="00E81196" w:rsidRPr="00442E0A" w14:paraId="67E65E5D" w14:textId="77777777" w:rsidTr="00E81196">
        <w:trPr>
          <w:cantSplit/>
          <w:trHeight w:val="769"/>
        </w:trPr>
        <w:tc>
          <w:tcPr>
            <w:tcW w:w="1586" w:type="pct"/>
          </w:tcPr>
          <w:p w14:paraId="4D8F1FF3" w14:textId="77777777" w:rsidR="00E81196" w:rsidRPr="00442E0A" w:rsidRDefault="00E81196" w:rsidP="00E81196">
            <w:pPr>
              <w:spacing w:after="160" w:line="259" w:lineRule="auto"/>
            </w:pPr>
            <w:r w:rsidRPr="00442E0A">
              <w:t>Post school outcomes</w:t>
            </w:r>
          </w:p>
        </w:tc>
        <w:tc>
          <w:tcPr>
            <w:tcW w:w="3414" w:type="pct"/>
          </w:tcPr>
          <w:p w14:paraId="06C98938" w14:textId="77777777" w:rsidR="00E81196" w:rsidRPr="00442E0A" w:rsidRDefault="00E81196" w:rsidP="00E81196">
            <w:pPr>
              <w:spacing w:after="160" w:line="259" w:lineRule="auto"/>
            </w:pPr>
          </w:p>
        </w:tc>
      </w:tr>
      <w:tr w:rsidR="00E81196" w:rsidRPr="00442E0A" w14:paraId="2770EEB4" w14:textId="77777777" w:rsidTr="00E81196">
        <w:trPr>
          <w:cantSplit/>
          <w:trHeight w:val="1292"/>
        </w:trPr>
        <w:tc>
          <w:tcPr>
            <w:tcW w:w="1586" w:type="pct"/>
          </w:tcPr>
          <w:p w14:paraId="0BBF14F1" w14:textId="77777777" w:rsidR="00E81196" w:rsidRPr="00442E0A" w:rsidRDefault="00E81196" w:rsidP="00E81196">
            <w:pPr>
              <w:spacing w:after="160" w:line="259" w:lineRule="auto"/>
            </w:pPr>
            <w:r w:rsidRPr="00442E0A">
              <w:t>Corrective Action Plan closeout within one year</w:t>
            </w:r>
          </w:p>
        </w:tc>
        <w:tc>
          <w:tcPr>
            <w:tcW w:w="3414" w:type="pct"/>
          </w:tcPr>
          <w:p w14:paraId="3C931E65" w14:textId="77777777" w:rsidR="00E81196" w:rsidRPr="00442E0A" w:rsidRDefault="00E81196" w:rsidP="00E81196">
            <w:pPr>
              <w:spacing w:after="160" w:line="259" w:lineRule="auto"/>
            </w:pPr>
          </w:p>
        </w:tc>
      </w:tr>
      <w:tr w:rsidR="00E81196" w:rsidRPr="00442E0A" w14:paraId="37A339A5" w14:textId="77777777" w:rsidTr="00E81196">
        <w:trPr>
          <w:cantSplit/>
          <w:trHeight w:val="796"/>
        </w:trPr>
        <w:tc>
          <w:tcPr>
            <w:tcW w:w="1586" w:type="pct"/>
          </w:tcPr>
          <w:p w14:paraId="3282463C" w14:textId="77777777" w:rsidR="00E81196" w:rsidRPr="00442E0A" w:rsidRDefault="00E81196" w:rsidP="00E81196">
            <w:pPr>
              <w:spacing w:after="160" w:line="259" w:lineRule="auto"/>
            </w:pPr>
            <w:r w:rsidRPr="00442E0A">
              <w:t>Single audit findings</w:t>
            </w:r>
          </w:p>
        </w:tc>
        <w:tc>
          <w:tcPr>
            <w:tcW w:w="3414" w:type="pct"/>
          </w:tcPr>
          <w:p w14:paraId="4ACD3347" w14:textId="77777777" w:rsidR="00E81196" w:rsidRPr="00442E0A" w:rsidRDefault="00E81196" w:rsidP="00E81196">
            <w:pPr>
              <w:spacing w:after="160" w:line="259" w:lineRule="auto"/>
            </w:pPr>
          </w:p>
        </w:tc>
      </w:tr>
      <w:tr w:rsidR="00E81196" w:rsidRPr="00442E0A" w14:paraId="09465F53" w14:textId="77777777" w:rsidTr="00E81196">
        <w:trPr>
          <w:cantSplit/>
          <w:trHeight w:val="769"/>
        </w:trPr>
        <w:tc>
          <w:tcPr>
            <w:tcW w:w="1586" w:type="pct"/>
          </w:tcPr>
          <w:p w14:paraId="0BE72E1C" w14:textId="77777777" w:rsidR="00E81196" w:rsidRPr="00442E0A" w:rsidRDefault="00E81196" w:rsidP="00E81196">
            <w:pPr>
              <w:spacing w:after="160" w:line="259" w:lineRule="auto"/>
            </w:pPr>
            <w:r w:rsidRPr="00442E0A">
              <w:t>Maintenance of effort</w:t>
            </w:r>
          </w:p>
        </w:tc>
        <w:tc>
          <w:tcPr>
            <w:tcW w:w="3414" w:type="pct"/>
          </w:tcPr>
          <w:p w14:paraId="3EE0A05E" w14:textId="77777777" w:rsidR="00E81196" w:rsidRPr="00442E0A" w:rsidRDefault="00E81196" w:rsidP="00E81196">
            <w:pPr>
              <w:spacing w:after="160" w:line="259" w:lineRule="auto"/>
            </w:pPr>
          </w:p>
        </w:tc>
      </w:tr>
      <w:tr w:rsidR="00E81196" w:rsidRPr="00442E0A" w14:paraId="3D9824EE" w14:textId="77777777" w:rsidTr="00E81196">
        <w:trPr>
          <w:cantSplit/>
          <w:trHeight w:val="769"/>
        </w:trPr>
        <w:tc>
          <w:tcPr>
            <w:tcW w:w="1586" w:type="pct"/>
          </w:tcPr>
          <w:p w14:paraId="6BC3B29D" w14:textId="77777777" w:rsidR="00E81196" w:rsidRPr="00442E0A" w:rsidRDefault="00E81196" w:rsidP="00E81196">
            <w:pPr>
              <w:spacing w:after="160" w:line="259" w:lineRule="auto"/>
            </w:pPr>
            <w:r w:rsidRPr="00442E0A">
              <w:t>Valid and timely data</w:t>
            </w:r>
          </w:p>
        </w:tc>
        <w:tc>
          <w:tcPr>
            <w:tcW w:w="3414" w:type="pct"/>
          </w:tcPr>
          <w:p w14:paraId="4DA82B78" w14:textId="77777777" w:rsidR="00E81196" w:rsidRPr="00442E0A" w:rsidRDefault="00E81196" w:rsidP="00E81196">
            <w:pPr>
              <w:spacing w:after="160" w:line="259" w:lineRule="auto"/>
            </w:pPr>
          </w:p>
        </w:tc>
      </w:tr>
    </w:tbl>
    <w:p w14:paraId="4C0D0AF4" w14:textId="77777777" w:rsidR="00E81196" w:rsidRPr="00BB1C72" w:rsidRDefault="00E81196" w:rsidP="00BB1C72">
      <w:pPr>
        <w:rPr>
          <w:noProof/>
        </w:rPr>
      </w:pPr>
    </w:p>
    <w:sectPr w:rsidR="00E81196" w:rsidRPr="00BB1C72" w:rsidSect="00035235">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A13E4" w14:textId="77777777" w:rsidR="00546778" w:rsidRDefault="00546778" w:rsidP="009A22CA">
      <w:r>
        <w:separator/>
      </w:r>
    </w:p>
  </w:endnote>
  <w:endnote w:type="continuationSeparator" w:id="0">
    <w:p w14:paraId="7EA25ED0" w14:textId="77777777" w:rsidR="00546778" w:rsidRDefault="00546778" w:rsidP="009A2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egular">
    <w:altName w:val="Times New 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B1812" w14:textId="2F302381" w:rsidR="00035235" w:rsidRDefault="00035235" w:rsidP="00BB1C72">
    <w:pPr>
      <w:pStyle w:val="Footer"/>
      <w:jc w:val="center"/>
      <w:rPr>
        <w:sz w:val="20"/>
        <w:szCs w:val="20"/>
      </w:rPr>
    </w:pPr>
  </w:p>
  <w:p w14:paraId="64CECCD3" w14:textId="6C94A6FF" w:rsidR="0040339F" w:rsidRDefault="0040339F" w:rsidP="00BB1C72">
    <w:pPr>
      <w:pStyle w:val="Footer"/>
      <w:jc w:val="center"/>
      <w:rPr>
        <w:sz w:val="20"/>
        <w:szCs w:val="20"/>
      </w:rPr>
    </w:pPr>
  </w:p>
  <w:p w14:paraId="1DD77781" w14:textId="77777777" w:rsidR="0040339F" w:rsidRPr="00BB1C72" w:rsidRDefault="0040339F" w:rsidP="00BB1C72">
    <w:pPr>
      <w:pStyle w:val="Footer"/>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71E2D" w14:textId="51FF913B" w:rsidR="00777100" w:rsidRPr="00777100" w:rsidRDefault="008D550D" w:rsidP="00777100">
    <w:pPr>
      <w:ind w:left="2880"/>
      <w:rPr>
        <w:b/>
        <w:bCs/>
        <w:sz w:val="20"/>
        <w:szCs w:val="20"/>
      </w:rPr>
    </w:pPr>
    <w:r>
      <w:rPr>
        <w:b/>
        <w:bCs/>
        <w:noProof/>
        <w:sz w:val="20"/>
        <w:szCs w:val="20"/>
      </w:rPr>
      <w:drawing>
        <wp:anchor distT="0" distB="0" distL="114300" distR="114300" simplePos="0" relativeHeight="251658240" behindDoc="0" locked="0" layoutInCell="1" allowOverlap="1" wp14:anchorId="2108BF6E" wp14:editId="3059C9F7">
          <wp:simplePos x="0" y="0"/>
          <wp:positionH relativeFrom="margin">
            <wp:posOffset>0</wp:posOffset>
          </wp:positionH>
          <wp:positionV relativeFrom="paragraph">
            <wp:posOffset>-54822</wp:posOffset>
          </wp:positionV>
          <wp:extent cx="1579880" cy="548640"/>
          <wp:effectExtent l="0" t="0" r="127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S Email Logo.png"/>
                  <pic:cNvPicPr/>
                </pic:nvPicPr>
                <pic:blipFill>
                  <a:blip r:embed="rId1">
                    <a:extLst>
                      <a:ext uri="{28A0092B-C50C-407E-A947-70E740481C1C}">
                        <a14:useLocalDpi xmlns:a14="http://schemas.microsoft.com/office/drawing/2010/main" val="0"/>
                      </a:ext>
                    </a:extLst>
                  </a:blip>
                  <a:stretch>
                    <a:fillRect/>
                  </a:stretch>
                </pic:blipFill>
                <pic:spPr>
                  <a:xfrm>
                    <a:off x="0" y="0"/>
                    <a:ext cx="1579880" cy="548640"/>
                  </a:xfrm>
                  <a:prstGeom prst="rect">
                    <a:avLst/>
                  </a:prstGeom>
                </pic:spPr>
              </pic:pic>
            </a:graphicData>
          </a:graphic>
          <wp14:sizeRelH relativeFrom="page">
            <wp14:pctWidth>0</wp14:pctWidth>
          </wp14:sizeRelH>
          <wp14:sizeRelV relativeFrom="page">
            <wp14:pctHeight>0</wp14:pctHeight>
          </wp14:sizeRelV>
        </wp:anchor>
      </w:drawing>
    </w:r>
    <w:r w:rsidR="00777100" w:rsidRPr="00777100">
      <w:rPr>
        <w:b/>
        <w:bCs/>
        <w:sz w:val="20"/>
        <w:szCs w:val="20"/>
      </w:rPr>
      <w:t>Kathy Hoffman, Superintendent of Public Instruction</w:t>
    </w:r>
  </w:p>
  <w:p w14:paraId="0ECD968B" w14:textId="77777777" w:rsidR="00777100" w:rsidRPr="00777100" w:rsidRDefault="00777100" w:rsidP="00777100">
    <w:pPr>
      <w:ind w:left="2880"/>
      <w:rPr>
        <w:sz w:val="20"/>
        <w:szCs w:val="20"/>
      </w:rPr>
    </w:pPr>
    <w:r w:rsidRPr="00777100">
      <w:rPr>
        <w:sz w:val="20"/>
        <w:szCs w:val="20"/>
      </w:rPr>
      <w:t>1535 West Jefferson Street • Phoenix, Arizona 85007</w:t>
    </w:r>
  </w:p>
  <w:p w14:paraId="0014FF15" w14:textId="452DD1B6" w:rsidR="00777100" w:rsidRPr="00777100" w:rsidRDefault="001808CC" w:rsidP="00777100">
    <w:pPr>
      <w:ind w:left="2880"/>
      <w:rPr>
        <w:sz w:val="20"/>
        <w:szCs w:val="20"/>
      </w:rPr>
    </w:pPr>
    <w:hyperlink r:id="rId2" w:tooltip="http://www.azed.gov" w:history="1">
      <w:r w:rsidR="00777100" w:rsidRPr="00777100">
        <w:rPr>
          <w:rStyle w:val="Hyperlink"/>
          <w:sz w:val="20"/>
          <w:szCs w:val="20"/>
        </w:rPr>
        <w:t>www.azed.gov</w:t>
      </w:r>
    </w:hyperlink>
    <w:r w:rsidR="00777100" w:rsidRPr="00777100">
      <w:rPr>
        <w:sz w:val="20"/>
        <w:szCs w:val="20"/>
      </w:rPr>
      <w:t> • (602) 542-</w:t>
    </w:r>
    <w:r w:rsidR="00D41919">
      <w:rPr>
        <w:sz w:val="20"/>
        <w:szCs w:val="20"/>
      </w:rPr>
      <w:t>4013</w:t>
    </w:r>
    <w:r w:rsidR="00777100" w:rsidRPr="00777100">
      <w:rPr>
        <w:sz w:val="20"/>
        <w:szCs w:val="20"/>
      </w:rPr>
      <w:t xml:space="preserve"> • </w:t>
    </w:r>
    <w:hyperlink r:id="rId3" w:history="1">
      <w:r w:rsidR="00777100" w:rsidRPr="00777100">
        <w:rPr>
          <w:rStyle w:val="Hyperlink"/>
          <w:sz w:val="20"/>
          <w:szCs w:val="20"/>
        </w:rPr>
        <w:t>www.azed.gov/specialeducation</w:t>
      </w:r>
    </w:hyperlink>
  </w:p>
  <w:p w14:paraId="2ADA2A93" w14:textId="408A7F07" w:rsidR="00035235" w:rsidRPr="00BB1C72" w:rsidRDefault="00035235" w:rsidP="00777100">
    <w:pPr>
      <w:ind w:left="288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A16FD" w14:textId="77777777" w:rsidR="00546778" w:rsidRDefault="00546778" w:rsidP="009A22CA">
      <w:r>
        <w:separator/>
      </w:r>
    </w:p>
  </w:footnote>
  <w:footnote w:type="continuationSeparator" w:id="0">
    <w:p w14:paraId="7B7D14CE" w14:textId="77777777" w:rsidR="00546778" w:rsidRDefault="00546778" w:rsidP="009A2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EA7D2" w14:textId="101E08BB" w:rsidR="000573B0" w:rsidRPr="000573B0" w:rsidRDefault="00FC4747" w:rsidP="007C6D0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B41A754" wp14:editId="124CACA9">
          <wp:extent cx="914400" cy="9144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5A6BC411" w14:textId="77777777" w:rsidR="004F7549" w:rsidRPr="00BB1C72" w:rsidRDefault="004F7549" w:rsidP="007C6D0B">
    <w:pPr>
      <w:pStyle w:val="Header"/>
      <w:jc w:val="center"/>
      <w:rPr>
        <w:sz w:val="16"/>
        <w:szCs w:val="16"/>
      </w:rPr>
    </w:pPr>
  </w:p>
  <w:p w14:paraId="03F9CCFA" w14:textId="77777777" w:rsidR="00035235" w:rsidRPr="00BB1C72" w:rsidRDefault="00035235" w:rsidP="00BB1C72">
    <w:pPr>
      <w:pStyle w:val="NoParagraphStyle"/>
      <w:spacing w:line="240" w:lineRule="auto"/>
      <w:rPr>
        <w:rFonts w:ascii="Arial" w:hAnsi="Arial" w:cs="Arial"/>
        <w:b/>
        <w:sz w:val="32"/>
        <w:szCs w:val="32"/>
      </w:rPr>
    </w:pPr>
    <w:r w:rsidRPr="00BB1C72">
      <w:rPr>
        <w:rFonts w:ascii="Arial" w:hAnsi="Arial" w:cs="Arial"/>
        <w:b/>
        <w:sz w:val="32"/>
        <w:szCs w:val="26"/>
      </w:rPr>
      <w:t>Arizona Department of Education</w:t>
    </w:r>
  </w:p>
  <w:p w14:paraId="21394B8B" w14:textId="77777777" w:rsidR="00035235" w:rsidRPr="00BB1C72" w:rsidRDefault="00035235" w:rsidP="00BB1C72">
    <w:pPr>
      <w:pStyle w:val="Header"/>
      <w:jc w:val="center"/>
      <w:rPr>
        <w:sz w:val="16"/>
        <w:szCs w:val="16"/>
      </w:rPr>
    </w:pPr>
  </w:p>
  <w:p w14:paraId="2E13DA3B" w14:textId="38B4DF54" w:rsidR="00D003B9" w:rsidRDefault="002F2405" w:rsidP="00BB1C72">
    <w:pPr>
      <w:pStyle w:val="NoParagraphStyle"/>
      <w:spacing w:line="240" w:lineRule="auto"/>
      <w:rPr>
        <w:rFonts w:ascii="Arial" w:hAnsi="Arial" w:cs="Arial"/>
        <w:sz w:val="28"/>
        <w:szCs w:val="28"/>
      </w:rPr>
    </w:pPr>
    <w:r w:rsidRPr="00BB1C72">
      <w:rPr>
        <w:rFonts w:ascii="Arial" w:hAnsi="Arial" w:cs="Arial"/>
        <w:sz w:val="28"/>
        <w:szCs w:val="28"/>
      </w:rPr>
      <w:t>Exceptional Student Services</w:t>
    </w:r>
  </w:p>
  <w:p w14:paraId="0DE85B28" w14:textId="77777777" w:rsidR="005D28C2" w:rsidRPr="00BB1C72" w:rsidRDefault="005D28C2" w:rsidP="00D003B9">
    <w:pPr>
      <w:pStyle w:val="NoParagraphStyle"/>
      <w:spacing w:line="240" w:lineRule="auto"/>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1742C"/>
    <w:multiLevelType w:val="hybridMultilevel"/>
    <w:tmpl w:val="1BC833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0D60C8"/>
    <w:multiLevelType w:val="hybridMultilevel"/>
    <w:tmpl w:val="2DB275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CAD2737"/>
    <w:multiLevelType w:val="singleLevel"/>
    <w:tmpl w:val="0409000F"/>
    <w:lvl w:ilvl="0">
      <w:start w:val="1"/>
      <w:numFmt w:val="decimal"/>
      <w:lvlText w:val="%1."/>
      <w:lvlJc w:val="left"/>
      <w:pPr>
        <w:tabs>
          <w:tab w:val="num" w:pos="360"/>
        </w:tabs>
        <w:ind w:left="360" w:hanging="360"/>
      </w:pPr>
    </w:lvl>
  </w:abstractNum>
  <w:num w:numId="1">
    <w:abstractNumId w:val="2"/>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2MzI3NzUzNTU3NrZQ0lEKTi0uzszPAykwrgUAJfyfsCwAAAA="/>
  </w:docVars>
  <w:rsids>
    <w:rsidRoot w:val="00035235"/>
    <w:rsid w:val="00031CF8"/>
    <w:rsid w:val="00035235"/>
    <w:rsid w:val="00042D7D"/>
    <w:rsid w:val="000573B0"/>
    <w:rsid w:val="000752BB"/>
    <w:rsid w:val="000A6678"/>
    <w:rsid w:val="000B2589"/>
    <w:rsid w:val="000C2BDE"/>
    <w:rsid w:val="000F5D12"/>
    <w:rsid w:val="001308E0"/>
    <w:rsid w:val="00160E36"/>
    <w:rsid w:val="001808CC"/>
    <w:rsid w:val="001C50A4"/>
    <w:rsid w:val="001C5E26"/>
    <w:rsid w:val="001D0BAC"/>
    <w:rsid w:val="00200B4E"/>
    <w:rsid w:val="00200F87"/>
    <w:rsid w:val="00233735"/>
    <w:rsid w:val="002A5AFC"/>
    <w:rsid w:val="002A66BB"/>
    <w:rsid w:val="002F2405"/>
    <w:rsid w:val="00306C02"/>
    <w:rsid w:val="00361E74"/>
    <w:rsid w:val="003B1B42"/>
    <w:rsid w:val="003E44E3"/>
    <w:rsid w:val="003F0ACF"/>
    <w:rsid w:val="003F7BA8"/>
    <w:rsid w:val="0040339F"/>
    <w:rsid w:val="00413CBE"/>
    <w:rsid w:val="00427463"/>
    <w:rsid w:val="00462604"/>
    <w:rsid w:val="004A06D1"/>
    <w:rsid w:val="004E65E3"/>
    <w:rsid w:val="004F318D"/>
    <w:rsid w:val="004F7549"/>
    <w:rsid w:val="005132DE"/>
    <w:rsid w:val="00531B64"/>
    <w:rsid w:val="005332C1"/>
    <w:rsid w:val="0053610C"/>
    <w:rsid w:val="00540726"/>
    <w:rsid w:val="00545207"/>
    <w:rsid w:val="00546778"/>
    <w:rsid w:val="00556F2C"/>
    <w:rsid w:val="00575D0A"/>
    <w:rsid w:val="00594578"/>
    <w:rsid w:val="005A551A"/>
    <w:rsid w:val="005C30C0"/>
    <w:rsid w:val="005C7862"/>
    <w:rsid w:val="005D28C2"/>
    <w:rsid w:val="006271BF"/>
    <w:rsid w:val="00631FD7"/>
    <w:rsid w:val="00650FEF"/>
    <w:rsid w:val="00652BB2"/>
    <w:rsid w:val="00660BCE"/>
    <w:rsid w:val="006627A2"/>
    <w:rsid w:val="00666587"/>
    <w:rsid w:val="006B0EE6"/>
    <w:rsid w:val="006B3A35"/>
    <w:rsid w:val="006B4186"/>
    <w:rsid w:val="006E179C"/>
    <w:rsid w:val="006E427F"/>
    <w:rsid w:val="007101D1"/>
    <w:rsid w:val="00724ACA"/>
    <w:rsid w:val="00731AEB"/>
    <w:rsid w:val="00735D11"/>
    <w:rsid w:val="00764A5F"/>
    <w:rsid w:val="00765CAF"/>
    <w:rsid w:val="007714EA"/>
    <w:rsid w:val="0077701C"/>
    <w:rsid w:val="00777100"/>
    <w:rsid w:val="00796B39"/>
    <w:rsid w:val="007A1373"/>
    <w:rsid w:val="007A13A4"/>
    <w:rsid w:val="007B5C04"/>
    <w:rsid w:val="007C6D0B"/>
    <w:rsid w:val="0081065F"/>
    <w:rsid w:val="00816CF4"/>
    <w:rsid w:val="00824223"/>
    <w:rsid w:val="00824C69"/>
    <w:rsid w:val="00830365"/>
    <w:rsid w:val="00844DC9"/>
    <w:rsid w:val="00846AEE"/>
    <w:rsid w:val="008649FD"/>
    <w:rsid w:val="00882857"/>
    <w:rsid w:val="00890FE4"/>
    <w:rsid w:val="008A7B85"/>
    <w:rsid w:val="008C3D45"/>
    <w:rsid w:val="008D52CE"/>
    <w:rsid w:val="008D550D"/>
    <w:rsid w:val="008F04F2"/>
    <w:rsid w:val="009112BD"/>
    <w:rsid w:val="0093638C"/>
    <w:rsid w:val="00954990"/>
    <w:rsid w:val="009608BA"/>
    <w:rsid w:val="00960ACD"/>
    <w:rsid w:val="009720D0"/>
    <w:rsid w:val="00976F52"/>
    <w:rsid w:val="009A22CA"/>
    <w:rsid w:val="009C4A91"/>
    <w:rsid w:val="009C6A59"/>
    <w:rsid w:val="009E4155"/>
    <w:rsid w:val="00A06A02"/>
    <w:rsid w:val="00A26783"/>
    <w:rsid w:val="00A35D66"/>
    <w:rsid w:val="00A421FE"/>
    <w:rsid w:val="00A54436"/>
    <w:rsid w:val="00A56502"/>
    <w:rsid w:val="00A9578A"/>
    <w:rsid w:val="00AA0F85"/>
    <w:rsid w:val="00AB596E"/>
    <w:rsid w:val="00AE5CBF"/>
    <w:rsid w:val="00B40360"/>
    <w:rsid w:val="00B50DD9"/>
    <w:rsid w:val="00B55EF5"/>
    <w:rsid w:val="00B61DCA"/>
    <w:rsid w:val="00B645C6"/>
    <w:rsid w:val="00B71589"/>
    <w:rsid w:val="00B7673B"/>
    <w:rsid w:val="00B9750F"/>
    <w:rsid w:val="00BA181E"/>
    <w:rsid w:val="00BA5256"/>
    <w:rsid w:val="00BB1C72"/>
    <w:rsid w:val="00BC2AA7"/>
    <w:rsid w:val="00BD230E"/>
    <w:rsid w:val="00C04AA7"/>
    <w:rsid w:val="00C31A45"/>
    <w:rsid w:val="00C32FAD"/>
    <w:rsid w:val="00C42E74"/>
    <w:rsid w:val="00C7539E"/>
    <w:rsid w:val="00C80202"/>
    <w:rsid w:val="00CA3953"/>
    <w:rsid w:val="00CB0BD3"/>
    <w:rsid w:val="00CF2789"/>
    <w:rsid w:val="00D003B9"/>
    <w:rsid w:val="00D1136E"/>
    <w:rsid w:val="00D23071"/>
    <w:rsid w:val="00D41919"/>
    <w:rsid w:val="00D51C97"/>
    <w:rsid w:val="00D72379"/>
    <w:rsid w:val="00D80E9A"/>
    <w:rsid w:val="00DA3152"/>
    <w:rsid w:val="00DB0EEF"/>
    <w:rsid w:val="00DB1808"/>
    <w:rsid w:val="00DD1734"/>
    <w:rsid w:val="00DF6DC3"/>
    <w:rsid w:val="00E42350"/>
    <w:rsid w:val="00E81196"/>
    <w:rsid w:val="00F32D4C"/>
    <w:rsid w:val="00F419E9"/>
    <w:rsid w:val="00F447B4"/>
    <w:rsid w:val="00F45559"/>
    <w:rsid w:val="00F50096"/>
    <w:rsid w:val="00FB129D"/>
    <w:rsid w:val="00FC4747"/>
    <w:rsid w:val="00FE6E94"/>
    <w:rsid w:val="00FE7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5F2736"/>
  <w15:chartTrackingRefBased/>
  <w15:docId w15:val="{59CAB6DD-A418-4AD6-8B55-7639ABC4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2CA"/>
    <w:pPr>
      <w:spacing w:after="0" w:line="276" w:lineRule="auto"/>
    </w:pPr>
    <w:rPr>
      <w:rFonts w:ascii="Arial" w:eastAsia="Calibri" w:hAnsi="Arial" w:cs="Arial"/>
    </w:rPr>
  </w:style>
  <w:style w:type="paragraph" w:styleId="Heading1">
    <w:name w:val="heading 1"/>
    <w:basedOn w:val="Title"/>
    <w:next w:val="Normal"/>
    <w:link w:val="Heading1Char"/>
    <w:uiPriority w:val="9"/>
    <w:qFormat/>
    <w:rsid w:val="000752BB"/>
    <w:pPr>
      <w:spacing w:after="240"/>
      <w:outlineLvl w:val="0"/>
    </w:pPr>
    <w:rPr>
      <w:rFonts w:ascii="Arial" w:hAnsi="Arial" w:cs="Arial"/>
      <w:noProof/>
      <w:sz w:val="44"/>
      <w:szCs w:val="44"/>
    </w:rPr>
  </w:style>
  <w:style w:type="paragraph" w:styleId="Heading2">
    <w:name w:val="heading 2"/>
    <w:basedOn w:val="Heading1"/>
    <w:next w:val="Normal"/>
    <w:link w:val="Heading2Char"/>
    <w:uiPriority w:val="9"/>
    <w:unhideWhenUsed/>
    <w:qFormat/>
    <w:rsid w:val="000752BB"/>
    <w:pPr>
      <w:spacing w:before="240" w:after="0"/>
      <w:outlineLvl w:val="1"/>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235"/>
    <w:pPr>
      <w:tabs>
        <w:tab w:val="center" w:pos="4680"/>
        <w:tab w:val="right" w:pos="9360"/>
      </w:tabs>
      <w:spacing w:line="240" w:lineRule="auto"/>
    </w:pPr>
  </w:style>
  <w:style w:type="character" w:customStyle="1" w:styleId="HeaderChar">
    <w:name w:val="Header Char"/>
    <w:basedOn w:val="DefaultParagraphFont"/>
    <w:link w:val="Header"/>
    <w:uiPriority w:val="99"/>
    <w:rsid w:val="00035235"/>
  </w:style>
  <w:style w:type="paragraph" w:styleId="Footer">
    <w:name w:val="footer"/>
    <w:basedOn w:val="Normal"/>
    <w:link w:val="FooterChar"/>
    <w:uiPriority w:val="99"/>
    <w:unhideWhenUsed/>
    <w:rsid w:val="00035235"/>
    <w:pPr>
      <w:tabs>
        <w:tab w:val="center" w:pos="4680"/>
        <w:tab w:val="right" w:pos="9360"/>
      </w:tabs>
      <w:spacing w:line="240" w:lineRule="auto"/>
    </w:pPr>
  </w:style>
  <w:style w:type="character" w:customStyle="1" w:styleId="FooterChar">
    <w:name w:val="Footer Char"/>
    <w:basedOn w:val="DefaultParagraphFont"/>
    <w:link w:val="Footer"/>
    <w:uiPriority w:val="99"/>
    <w:rsid w:val="00035235"/>
  </w:style>
  <w:style w:type="paragraph" w:customStyle="1" w:styleId="NoParagraphStyle">
    <w:name w:val="[No Paragraph Style]"/>
    <w:rsid w:val="00035235"/>
    <w:pPr>
      <w:autoSpaceDE w:val="0"/>
      <w:autoSpaceDN w:val="0"/>
      <w:adjustRightInd w:val="0"/>
      <w:spacing w:after="0" w:line="288" w:lineRule="auto"/>
      <w:jc w:val="center"/>
      <w:textAlignment w:val="center"/>
    </w:pPr>
    <w:rPr>
      <w:rFonts w:ascii="Times Regular" w:eastAsia="Calibri" w:hAnsi="Times Regular" w:cs="Times Regular"/>
      <w:color w:val="000000"/>
      <w:sz w:val="24"/>
      <w:szCs w:val="24"/>
    </w:rPr>
  </w:style>
  <w:style w:type="character" w:styleId="Hyperlink">
    <w:name w:val="Hyperlink"/>
    <w:basedOn w:val="DefaultParagraphFont"/>
    <w:uiPriority w:val="99"/>
    <w:unhideWhenUsed/>
    <w:rsid w:val="00035235"/>
    <w:rPr>
      <w:color w:val="0563C1" w:themeColor="hyperlink"/>
      <w:u w:val="single"/>
    </w:rPr>
  </w:style>
  <w:style w:type="paragraph" w:styleId="BalloonText">
    <w:name w:val="Balloon Text"/>
    <w:basedOn w:val="Normal"/>
    <w:link w:val="BalloonTextChar"/>
    <w:uiPriority w:val="99"/>
    <w:semiHidden/>
    <w:unhideWhenUsed/>
    <w:rsid w:val="000352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235"/>
    <w:rPr>
      <w:rFonts w:ascii="Tahoma" w:eastAsia="Calibri" w:hAnsi="Tahoma" w:cs="Tahoma"/>
      <w:sz w:val="16"/>
      <w:szCs w:val="16"/>
    </w:rPr>
  </w:style>
  <w:style w:type="character" w:styleId="CommentReference">
    <w:name w:val="annotation reference"/>
    <w:basedOn w:val="DefaultParagraphFont"/>
    <w:uiPriority w:val="99"/>
    <w:semiHidden/>
    <w:unhideWhenUsed/>
    <w:rsid w:val="000C2BDE"/>
    <w:rPr>
      <w:sz w:val="16"/>
      <w:szCs w:val="16"/>
    </w:rPr>
  </w:style>
  <w:style w:type="paragraph" w:styleId="CommentText">
    <w:name w:val="annotation text"/>
    <w:basedOn w:val="Normal"/>
    <w:link w:val="CommentTextChar"/>
    <w:uiPriority w:val="99"/>
    <w:semiHidden/>
    <w:unhideWhenUsed/>
    <w:rsid w:val="000C2BDE"/>
    <w:pPr>
      <w:spacing w:line="240" w:lineRule="auto"/>
    </w:pPr>
    <w:rPr>
      <w:sz w:val="20"/>
      <w:szCs w:val="20"/>
    </w:rPr>
  </w:style>
  <w:style w:type="character" w:customStyle="1" w:styleId="CommentTextChar">
    <w:name w:val="Comment Text Char"/>
    <w:basedOn w:val="DefaultParagraphFont"/>
    <w:link w:val="CommentText"/>
    <w:uiPriority w:val="99"/>
    <w:semiHidden/>
    <w:rsid w:val="000C2BDE"/>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0C2BDE"/>
    <w:rPr>
      <w:b/>
      <w:bCs/>
    </w:rPr>
  </w:style>
  <w:style w:type="character" w:customStyle="1" w:styleId="CommentSubjectChar">
    <w:name w:val="Comment Subject Char"/>
    <w:basedOn w:val="CommentTextChar"/>
    <w:link w:val="CommentSubject"/>
    <w:uiPriority w:val="99"/>
    <w:semiHidden/>
    <w:rsid w:val="000C2BDE"/>
    <w:rPr>
      <w:rFonts w:ascii="Arial" w:eastAsia="Calibri" w:hAnsi="Arial" w:cs="Arial"/>
      <w:b/>
      <w:bCs/>
      <w:sz w:val="20"/>
      <w:szCs w:val="20"/>
    </w:rPr>
  </w:style>
  <w:style w:type="paragraph" w:styleId="Revision">
    <w:name w:val="Revision"/>
    <w:hidden/>
    <w:uiPriority w:val="99"/>
    <w:semiHidden/>
    <w:rsid w:val="00D23071"/>
    <w:pPr>
      <w:spacing w:after="0" w:line="240" w:lineRule="auto"/>
    </w:pPr>
    <w:rPr>
      <w:rFonts w:ascii="Arial" w:eastAsia="Calibri" w:hAnsi="Arial" w:cs="Arial"/>
    </w:rPr>
  </w:style>
  <w:style w:type="character" w:styleId="UnresolvedMention">
    <w:name w:val="Unresolved Mention"/>
    <w:basedOn w:val="DefaultParagraphFont"/>
    <w:uiPriority w:val="99"/>
    <w:semiHidden/>
    <w:unhideWhenUsed/>
    <w:rsid w:val="00777100"/>
    <w:rPr>
      <w:color w:val="605E5C"/>
      <w:shd w:val="clear" w:color="auto" w:fill="E1DFDD"/>
    </w:rPr>
  </w:style>
  <w:style w:type="paragraph" w:styleId="Title">
    <w:name w:val="Title"/>
    <w:basedOn w:val="Normal"/>
    <w:next w:val="Normal"/>
    <w:link w:val="TitleChar"/>
    <w:uiPriority w:val="10"/>
    <w:qFormat/>
    <w:rsid w:val="00E8119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19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752BB"/>
    <w:rPr>
      <w:rFonts w:ascii="Arial" w:eastAsiaTheme="majorEastAsia" w:hAnsi="Arial" w:cs="Arial"/>
      <w:noProof/>
      <w:spacing w:val="-10"/>
      <w:kern w:val="28"/>
      <w:sz w:val="44"/>
      <w:szCs w:val="44"/>
    </w:rPr>
  </w:style>
  <w:style w:type="table" w:styleId="TableGrid">
    <w:name w:val="Table Grid"/>
    <w:basedOn w:val="TableNormal"/>
    <w:uiPriority w:val="59"/>
    <w:rsid w:val="00E81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752BB"/>
    <w:rPr>
      <w:rFonts w:ascii="Arial" w:eastAsiaTheme="majorEastAsia" w:hAnsi="Arial" w:cs="Arial"/>
      <w:noProof/>
      <w:spacing w:val="-10"/>
      <w:kern w:val="28"/>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14107">
      <w:bodyDiv w:val="1"/>
      <w:marLeft w:val="0"/>
      <w:marRight w:val="0"/>
      <w:marTop w:val="0"/>
      <w:marBottom w:val="0"/>
      <w:divBdr>
        <w:top w:val="none" w:sz="0" w:space="0" w:color="auto"/>
        <w:left w:val="none" w:sz="0" w:space="0" w:color="auto"/>
        <w:bottom w:val="none" w:sz="0" w:space="0" w:color="auto"/>
        <w:right w:val="none" w:sz="0" w:space="0" w:color="auto"/>
      </w:divBdr>
    </w:div>
    <w:div w:id="856961311">
      <w:bodyDiv w:val="1"/>
      <w:marLeft w:val="0"/>
      <w:marRight w:val="0"/>
      <w:marTop w:val="0"/>
      <w:marBottom w:val="0"/>
      <w:divBdr>
        <w:top w:val="none" w:sz="0" w:space="0" w:color="auto"/>
        <w:left w:val="none" w:sz="0" w:space="0" w:color="auto"/>
        <w:bottom w:val="none" w:sz="0" w:space="0" w:color="auto"/>
        <w:right w:val="none" w:sz="0" w:space="0" w:color="auto"/>
      </w:divBdr>
    </w:div>
    <w:div w:id="1336306204">
      <w:bodyDiv w:val="1"/>
      <w:marLeft w:val="0"/>
      <w:marRight w:val="0"/>
      <w:marTop w:val="0"/>
      <w:marBottom w:val="0"/>
      <w:divBdr>
        <w:top w:val="none" w:sz="0" w:space="0" w:color="auto"/>
        <w:left w:val="none" w:sz="0" w:space="0" w:color="auto"/>
        <w:bottom w:val="none" w:sz="0" w:space="0" w:color="auto"/>
        <w:right w:val="none" w:sz="0" w:space="0" w:color="auto"/>
      </w:divBdr>
    </w:div>
    <w:div w:id="1355767972">
      <w:bodyDiv w:val="1"/>
      <w:marLeft w:val="0"/>
      <w:marRight w:val="0"/>
      <w:marTop w:val="0"/>
      <w:marBottom w:val="0"/>
      <w:divBdr>
        <w:top w:val="none" w:sz="0" w:space="0" w:color="auto"/>
        <w:left w:val="none" w:sz="0" w:space="0" w:color="auto"/>
        <w:bottom w:val="none" w:sz="0" w:space="0" w:color="auto"/>
        <w:right w:val="none" w:sz="0" w:space="0" w:color="auto"/>
      </w:divBdr>
      <w:divsChild>
        <w:div w:id="288048317">
          <w:marLeft w:val="0"/>
          <w:marRight w:val="0"/>
          <w:marTop w:val="0"/>
          <w:marBottom w:val="0"/>
          <w:divBdr>
            <w:top w:val="none" w:sz="0" w:space="0" w:color="auto"/>
            <w:left w:val="none" w:sz="0" w:space="0" w:color="auto"/>
            <w:bottom w:val="none" w:sz="0" w:space="0" w:color="auto"/>
            <w:right w:val="none" w:sz="0" w:space="0" w:color="auto"/>
          </w:divBdr>
          <w:divsChild>
            <w:div w:id="685788025">
              <w:marLeft w:val="0"/>
              <w:marRight w:val="0"/>
              <w:marTop w:val="0"/>
              <w:marBottom w:val="0"/>
              <w:divBdr>
                <w:top w:val="none" w:sz="0" w:space="0" w:color="auto"/>
                <w:left w:val="none" w:sz="0" w:space="0" w:color="auto"/>
                <w:bottom w:val="none" w:sz="0" w:space="0" w:color="auto"/>
                <w:right w:val="none" w:sz="0" w:space="0" w:color="auto"/>
              </w:divBdr>
            </w:div>
          </w:divsChild>
        </w:div>
        <w:div w:id="1560675686">
          <w:marLeft w:val="0"/>
          <w:marRight w:val="0"/>
          <w:marTop w:val="0"/>
          <w:marBottom w:val="0"/>
          <w:divBdr>
            <w:top w:val="none" w:sz="0" w:space="0" w:color="auto"/>
            <w:left w:val="none" w:sz="0" w:space="0" w:color="auto"/>
            <w:bottom w:val="none" w:sz="0" w:space="0" w:color="auto"/>
            <w:right w:val="none" w:sz="0" w:space="0" w:color="auto"/>
          </w:divBdr>
          <w:divsChild>
            <w:div w:id="580601223">
              <w:marLeft w:val="0"/>
              <w:marRight w:val="0"/>
              <w:marTop w:val="0"/>
              <w:marBottom w:val="0"/>
              <w:divBdr>
                <w:top w:val="none" w:sz="0" w:space="0" w:color="auto"/>
                <w:left w:val="none" w:sz="0" w:space="0" w:color="auto"/>
                <w:bottom w:val="none" w:sz="0" w:space="0" w:color="auto"/>
                <w:right w:val="none" w:sz="0" w:space="0" w:color="auto"/>
              </w:divBdr>
            </w:div>
          </w:divsChild>
        </w:div>
        <w:div w:id="1941641710">
          <w:marLeft w:val="0"/>
          <w:marRight w:val="0"/>
          <w:marTop w:val="0"/>
          <w:marBottom w:val="0"/>
          <w:divBdr>
            <w:top w:val="none" w:sz="0" w:space="0" w:color="auto"/>
            <w:left w:val="none" w:sz="0" w:space="0" w:color="auto"/>
            <w:bottom w:val="none" w:sz="0" w:space="0" w:color="auto"/>
            <w:right w:val="none" w:sz="0" w:space="0" w:color="auto"/>
          </w:divBdr>
          <w:divsChild>
            <w:div w:id="692610748">
              <w:marLeft w:val="0"/>
              <w:marRight w:val="0"/>
              <w:marTop w:val="0"/>
              <w:marBottom w:val="0"/>
              <w:divBdr>
                <w:top w:val="none" w:sz="0" w:space="0" w:color="auto"/>
                <w:left w:val="none" w:sz="0" w:space="0" w:color="auto"/>
                <w:bottom w:val="none" w:sz="0" w:space="0" w:color="auto"/>
                <w:right w:val="none" w:sz="0" w:space="0" w:color="auto"/>
              </w:divBdr>
            </w:div>
          </w:divsChild>
        </w:div>
        <w:div w:id="230114813">
          <w:marLeft w:val="0"/>
          <w:marRight w:val="0"/>
          <w:marTop w:val="0"/>
          <w:marBottom w:val="0"/>
          <w:divBdr>
            <w:top w:val="none" w:sz="0" w:space="0" w:color="auto"/>
            <w:left w:val="none" w:sz="0" w:space="0" w:color="auto"/>
            <w:bottom w:val="none" w:sz="0" w:space="0" w:color="auto"/>
            <w:right w:val="none" w:sz="0" w:space="0" w:color="auto"/>
          </w:divBdr>
          <w:divsChild>
            <w:div w:id="16466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330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98">
          <w:marLeft w:val="0"/>
          <w:marRight w:val="0"/>
          <w:marTop w:val="0"/>
          <w:marBottom w:val="0"/>
          <w:divBdr>
            <w:top w:val="none" w:sz="0" w:space="0" w:color="auto"/>
            <w:left w:val="none" w:sz="0" w:space="0" w:color="auto"/>
            <w:bottom w:val="none" w:sz="0" w:space="0" w:color="auto"/>
            <w:right w:val="none" w:sz="0" w:space="0" w:color="auto"/>
          </w:divBdr>
          <w:divsChild>
            <w:div w:id="1929654095">
              <w:marLeft w:val="0"/>
              <w:marRight w:val="0"/>
              <w:marTop w:val="0"/>
              <w:marBottom w:val="0"/>
              <w:divBdr>
                <w:top w:val="none" w:sz="0" w:space="0" w:color="auto"/>
                <w:left w:val="none" w:sz="0" w:space="0" w:color="auto"/>
                <w:bottom w:val="none" w:sz="0" w:space="0" w:color="auto"/>
                <w:right w:val="none" w:sz="0" w:space="0" w:color="auto"/>
              </w:divBdr>
            </w:div>
          </w:divsChild>
        </w:div>
        <w:div w:id="927541184">
          <w:marLeft w:val="0"/>
          <w:marRight w:val="0"/>
          <w:marTop w:val="0"/>
          <w:marBottom w:val="0"/>
          <w:divBdr>
            <w:top w:val="none" w:sz="0" w:space="0" w:color="auto"/>
            <w:left w:val="none" w:sz="0" w:space="0" w:color="auto"/>
            <w:bottom w:val="none" w:sz="0" w:space="0" w:color="auto"/>
            <w:right w:val="none" w:sz="0" w:space="0" w:color="auto"/>
          </w:divBdr>
          <w:divsChild>
            <w:div w:id="1681157042">
              <w:marLeft w:val="0"/>
              <w:marRight w:val="0"/>
              <w:marTop w:val="0"/>
              <w:marBottom w:val="0"/>
              <w:divBdr>
                <w:top w:val="none" w:sz="0" w:space="0" w:color="auto"/>
                <w:left w:val="none" w:sz="0" w:space="0" w:color="auto"/>
                <w:bottom w:val="none" w:sz="0" w:space="0" w:color="auto"/>
                <w:right w:val="none" w:sz="0" w:space="0" w:color="auto"/>
              </w:divBdr>
            </w:div>
          </w:divsChild>
        </w:div>
        <w:div w:id="119418615">
          <w:marLeft w:val="0"/>
          <w:marRight w:val="0"/>
          <w:marTop w:val="0"/>
          <w:marBottom w:val="0"/>
          <w:divBdr>
            <w:top w:val="none" w:sz="0" w:space="0" w:color="auto"/>
            <w:left w:val="none" w:sz="0" w:space="0" w:color="auto"/>
            <w:bottom w:val="none" w:sz="0" w:space="0" w:color="auto"/>
            <w:right w:val="none" w:sz="0" w:space="0" w:color="auto"/>
          </w:divBdr>
          <w:divsChild>
            <w:div w:id="245306229">
              <w:marLeft w:val="0"/>
              <w:marRight w:val="0"/>
              <w:marTop w:val="0"/>
              <w:marBottom w:val="0"/>
              <w:divBdr>
                <w:top w:val="none" w:sz="0" w:space="0" w:color="auto"/>
                <w:left w:val="none" w:sz="0" w:space="0" w:color="auto"/>
                <w:bottom w:val="none" w:sz="0" w:space="0" w:color="auto"/>
                <w:right w:val="none" w:sz="0" w:space="0" w:color="auto"/>
              </w:divBdr>
            </w:div>
          </w:divsChild>
        </w:div>
        <w:div w:id="316421780">
          <w:marLeft w:val="0"/>
          <w:marRight w:val="0"/>
          <w:marTop w:val="0"/>
          <w:marBottom w:val="0"/>
          <w:divBdr>
            <w:top w:val="none" w:sz="0" w:space="0" w:color="auto"/>
            <w:left w:val="none" w:sz="0" w:space="0" w:color="auto"/>
            <w:bottom w:val="none" w:sz="0" w:space="0" w:color="auto"/>
            <w:right w:val="none" w:sz="0" w:space="0" w:color="auto"/>
          </w:divBdr>
          <w:divsChild>
            <w:div w:id="13664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5888">
      <w:bodyDiv w:val="1"/>
      <w:marLeft w:val="0"/>
      <w:marRight w:val="0"/>
      <w:marTop w:val="0"/>
      <w:marBottom w:val="0"/>
      <w:divBdr>
        <w:top w:val="none" w:sz="0" w:space="0" w:color="auto"/>
        <w:left w:val="none" w:sz="0" w:space="0" w:color="auto"/>
        <w:bottom w:val="none" w:sz="0" w:space="0" w:color="auto"/>
        <w:right w:val="none" w:sz="0" w:space="0" w:color="auto"/>
      </w:divBdr>
    </w:div>
    <w:div w:id="196484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SOperations@azed.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SSOperations@azed.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zed.gov/specialeducation/pea-determination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azed.gov/specialeducation" TargetMode="External"/><Relationship Id="rId2" Type="http://schemas.openxmlformats.org/officeDocument/2006/relationships/hyperlink" Target="http://www.azed.gov"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8F55A438CAA749BFA79916C5F1DD64" ma:contentTypeVersion="15" ma:contentTypeDescription="Create a new document." ma:contentTypeScope="" ma:versionID="47f64503ccf624c8c4e28994e7cae401">
  <xsd:schema xmlns:xsd="http://www.w3.org/2001/XMLSchema" xmlns:xs="http://www.w3.org/2001/XMLSchema" xmlns:p="http://schemas.microsoft.com/office/2006/metadata/properties" xmlns:ns1="http://schemas.microsoft.com/sharepoint/v3" xmlns:ns3="20e454f4-3b14-414b-9f0b-a1f1e5573b61" xmlns:ns4="ac5d5c29-9739-4184-85c5-69484fc575aa" targetNamespace="http://schemas.microsoft.com/office/2006/metadata/properties" ma:root="true" ma:fieldsID="d2c46c60c1a5a06730f135c323bfde1b" ns1:_="" ns3:_="" ns4:_="">
    <xsd:import namespace="http://schemas.microsoft.com/sharepoint/v3"/>
    <xsd:import namespace="20e454f4-3b14-414b-9f0b-a1f1e5573b61"/>
    <xsd:import namespace="ac5d5c29-9739-4184-85c5-69484fc575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e454f4-3b14-414b-9f0b-a1f1e5573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5d5c29-9739-4184-85c5-69484fc575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6721ECC-CDE4-444A-B21F-DDCB29724B86}">
  <ds:schemaRefs>
    <ds:schemaRef ds:uri="http://schemas.microsoft.com/sharepoint/v3/contenttype/forms"/>
  </ds:schemaRefs>
</ds:datastoreItem>
</file>

<file path=customXml/itemProps2.xml><?xml version="1.0" encoding="utf-8"?>
<ds:datastoreItem xmlns:ds="http://schemas.openxmlformats.org/officeDocument/2006/customXml" ds:itemID="{B9746A4B-14EB-4860-B246-C2B9210A4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e454f4-3b14-414b-9f0b-a1f1e5573b61"/>
    <ds:schemaRef ds:uri="ac5d5c29-9739-4184-85c5-69484fc57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9D217E-E56F-42E4-8DDD-1A48B9D54922}">
  <ds:schemaRefs>
    <ds:schemaRef ds:uri="http://schemas.openxmlformats.org/officeDocument/2006/bibliography"/>
  </ds:schemaRefs>
</ds:datastoreItem>
</file>

<file path=customXml/itemProps4.xml><?xml version="1.0" encoding="utf-8"?>
<ds:datastoreItem xmlns:ds="http://schemas.openxmlformats.org/officeDocument/2006/customXml" ds:itemID="{0F62DBBD-1138-4F69-BF5B-E810424EF6E5}">
  <ds:schemaRefs>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ac5d5c29-9739-4184-85c5-69484fc575aa"/>
    <ds:schemaRef ds:uri="http://purl.org/dc/elements/1.1/"/>
    <ds:schemaRef ds:uri="20e454f4-3b14-414b-9f0b-a1f1e5573b6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ADE Letterhead</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Brown, Chris</cp:lastModifiedBy>
  <cp:revision>3</cp:revision>
  <cp:lastPrinted>2020-12-09T18:05:00Z</cp:lastPrinted>
  <dcterms:created xsi:type="dcterms:W3CDTF">2021-05-25T15:29:00Z</dcterms:created>
  <dcterms:modified xsi:type="dcterms:W3CDTF">2021-05-25T18:28:00Z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0x010100228F55A438CAA749BFA79916C5F1DD64</vt:lpwstr>
  </property>
  <property fmtid="{D5CDD505-2E9C-101B-9397-08002B2CF9AE}" pid="3" name="_dlc_DocIdItemGuid">
    <vt:lpwstr>30d937d4-c7fa-455d-8153-d3d63e68e04c</vt:lpwstr>
  </property>
</Properties>
</file>