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2BAD2" w14:textId="77777777" w:rsidR="007D45CB" w:rsidRDefault="007D45CB" w:rsidP="00A51396">
      <w:pPr>
        <w:pStyle w:val="Heading1"/>
        <w:tabs>
          <w:tab w:val="right" w:leader="underscore" w:pos="9360"/>
        </w:tabs>
        <w:jc w:val="center"/>
        <w:rPr>
          <w:rFonts w:ascii="Times New Roman" w:hAnsi="Times New Roman"/>
        </w:rPr>
      </w:pPr>
    </w:p>
    <w:p w14:paraId="2D15D392" w14:textId="77777777" w:rsidR="007D45CB" w:rsidRPr="004D0FDA" w:rsidRDefault="007D45CB" w:rsidP="007D45CB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4D0FDA">
        <w:rPr>
          <w:rFonts w:ascii="Arial" w:hAnsi="Arial" w:cs="Arial"/>
          <w:sz w:val="24"/>
          <w:szCs w:val="24"/>
          <w:highlight w:val="yellow"/>
        </w:rPr>
        <w:t>[DATE]</w:t>
      </w:r>
    </w:p>
    <w:p w14:paraId="3962543E" w14:textId="77777777" w:rsidR="007D45CB" w:rsidRPr="004D0FDA" w:rsidRDefault="007D45CB" w:rsidP="007D45CB">
      <w:pPr>
        <w:jc w:val="center"/>
        <w:rPr>
          <w:rFonts w:ascii="Arial" w:hAnsi="Arial" w:cs="Arial"/>
          <w:sz w:val="24"/>
          <w:szCs w:val="24"/>
        </w:rPr>
      </w:pPr>
      <w:r w:rsidRPr="004D0FDA">
        <w:rPr>
          <w:rFonts w:ascii="Arial" w:hAnsi="Arial" w:cs="Arial"/>
          <w:sz w:val="24"/>
          <w:szCs w:val="24"/>
          <w:highlight w:val="yellow"/>
        </w:rPr>
        <w:t>[LEA Name]</w:t>
      </w:r>
    </w:p>
    <w:p w14:paraId="0C469DF3" w14:textId="77777777" w:rsidR="007D45CB" w:rsidRPr="004D0FDA" w:rsidRDefault="007D45CB" w:rsidP="007D45CB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ExemptSample"/>
      <w:bookmarkEnd w:id="0"/>
      <w:r w:rsidRPr="004D0FDA">
        <w:rPr>
          <w:rFonts w:ascii="Arial" w:hAnsi="Arial" w:cs="Arial"/>
          <w:b/>
          <w:sz w:val="28"/>
          <w:szCs w:val="24"/>
        </w:rPr>
        <w:t>COMPARABILITY EXEMPTION PROCEDURES</w:t>
      </w:r>
    </w:p>
    <w:p w14:paraId="0C263B70" w14:textId="77777777" w:rsidR="007D45CB" w:rsidRPr="004D0FDA" w:rsidRDefault="007D45CB" w:rsidP="007D45CB">
      <w:pPr>
        <w:jc w:val="center"/>
        <w:rPr>
          <w:rFonts w:ascii="Arial" w:hAnsi="Arial" w:cs="Arial"/>
          <w:sz w:val="24"/>
          <w:szCs w:val="24"/>
        </w:rPr>
      </w:pPr>
      <w:r w:rsidRPr="004D0FDA">
        <w:rPr>
          <w:rFonts w:ascii="Arial" w:hAnsi="Arial" w:cs="Arial"/>
          <w:sz w:val="24"/>
          <w:szCs w:val="24"/>
        </w:rPr>
        <w:t>Please choose one from the following exemptions:</w:t>
      </w:r>
    </w:p>
    <w:p w14:paraId="31C2E818" w14:textId="77777777" w:rsidR="007D45CB" w:rsidRPr="004D0FDA" w:rsidRDefault="007D45CB" w:rsidP="007D45CB">
      <w:pPr>
        <w:jc w:val="center"/>
        <w:rPr>
          <w:rFonts w:ascii="Arial" w:hAnsi="Arial" w:cs="Arial"/>
          <w:sz w:val="24"/>
          <w:szCs w:val="24"/>
        </w:rPr>
      </w:pPr>
    </w:p>
    <w:p w14:paraId="1D4EA13C" w14:textId="77777777" w:rsidR="007D45CB" w:rsidRPr="004D0FDA" w:rsidRDefault="007D45CB" w:rsidP="007D45CB">
      <w:pPr>
        <w:jc w:val="center"/>
        <w:rPr>
          <w:rFonts w:ascii="Arial" w:hAnsi="Arial" w:cs="Arial"/>
          <w:sz w:val="24"/>
          <w:szCs w:val="24"/>
        </w:rPr>
      </w:pPr>
    </w:p>
    <w:p w14:paraId="6C8C3D55" w14:textId="77777777" w:rsidR="007D45CB" w:rsidRPr="004D0FDA" w:rsidRDefault="007D45CB" w:rsidP="007D45CB">
      <w:pPr>
        <w:rPr>
          <w:rFonts w:ascii="Arial" w:hAnsi="Arial" w:cs="Arial"/>
          <w:sz w:val="24"/>
          <w:szCs w:val="24"/>
        </w:rPr>
      </w:pPr>
      <w:r w:rsidRPr="004D0FDA">
        <w:rPr>
          <w:rFonts w:ascii="Arial" w:hAnsi="Arial" w:cs="Arial"/>
          <w:sz w:val="24"/>
          <w:szCs w:val="24"/>
        </w:rPr>
        <w:t>_____ Single site LEA</w:t>
      </w:r>
    </w:p>
    <w:p w14:paraId="5B19CB1B" w14:textId="77777777" w:rsidR="007D45CB" w:rsidRPr="004D0FDA" w:rsidRDefault="007D45CB" w:rsidP="007D45CB">
      <w:pPr>
        <w:rPr>
          <w:rFonts w:ascii="Arial" w:hAnsi="Arial" w:cs="Arial"/>
          <w:sz w:val="24"/>
          <w:szCs w:val="24"/>
        </w:rPr>
      </w:pPr>
      <w:r w:rsidRPr="004D0FDA">
        <w:rPr>
          <w:rFonts w:ascii="Arial" w:hAnsi="Arial" w:cs="Arial"/>
          <w:sz w:val="24"/>
          <w:szCs w:val="24"/>
        </w:rPr>
        <w:t>_____ One school per grade span with no overlapping grades</w:t>
      </w:r>
    </w:p>
    <w:p w14:paraId="0791B3F0" w14:textId="77777777" w:rsidR="007D45CB" w:rsidRPr="004D0FDA" w:rsidRDefault="007D45CB" w:rsidP="007D45CB">
      <w:pPr>
        <w:jc w:val="center"/>
        <w:rPr>
          <w:rFonts w:ascii="Arial" w:hAnsi="Arial" w:cs="Arial"/>
          <w:b/>
          <w:sz w:val="24"/>
          <w:szCs w:val="24"/>
        </w:rPr>
      </w:pPr>
    </w:p>
    <w:p w14:paraId="7BB0AB97" w14:textId="77777777" w:rsidR="007D45CB" w:rsidRPr="004D0FDA" w:rsidRDefault="007D45CB" w:rsidP="007D45CB">
      <w:pPr>
        <w:jc w:val="center"/>
        <w:rPr>
          <w:sz w:val="24"/>
          <w:szCs w:val="24"/>
        </w:rPr>
      </w:pPr>
    </w:p>
    <w:p w14:paraId="43B3C2E8" w14:textId="77777777" w:rsidR="007D45CB" w:rsidRPr="004D0FDA" w:rsidRDefault="007D45CB" w:rsidP="007D45C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D0FDA">
        <w:rPr>
          <w:rFonts w:ascii="Arial" w:hAnsi="Arial" w:cs="Arial"/>
          <w:sz w:val="24"/>
          <w:szCs w:val="24"/>
          <w:highlight w:val="yellow"/>
        </w:rPr>
        <w:t>[LEA Name]</w:t>
      </w:r>
      <w:r w:rsidRPr="004D0FDA">
        <w:rPr>
          <w:rFonts w:ascii="Arial" w:hAnsi="Arial" w:cs="Arial"/>
          <w:sz w:val="24"/>
          <w:szCs w:val="24"/>
        </w:rPr>
        <w:t xml:space="preserve"> receives Title I grant funds and does not calculate comparability because </w:t>
      </w:r>
      <w:r w:rsidRPr="004D0FDA">
        <w:rPr>
          <w:rFonts w:ascii="Arial" w:hAnsi="Arial" w:cs="Arial"/>
          <w:sz w:val="24"/>
          <w:szCs w:val="24"/>
          <w:highlight w:val="yellow"/>
        </w:rPr>
        <w:t>[Checked Reason]</w:t>
      </w:r>
      <w:r w:rsidRPr="004D0FDA">
        <w:rPr>
          <w:rFonts w:ascii="Arial" w:hAnsi="Arial" w:cs="Arial"/>
          <w:sz w:val="24"/>
          <w:szCs w:val="24"/>
        </w:rPr>
        <w:t xml:space="preserve">.  </w:t>
      </w:r>
    </w:p>
    <w:p w14:paraId="62490C48" w14:textId="77777777" w:rsidR="007D45CB" w:rsidRPr="004D0FDA" w:rsidRDefault="007D45CB" w:rsidP="007D45C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769035E" w14:textId="77777777" w:rsidR="007D45CB" w:rsidRPr="004D0FDA" w:rsidRDefault="007D45CB" w:rsidP="007D45C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D0FDA">
        <w:rPr>
          <w:rFonts w:ascii="Arial" w:hAnsi="Arial" w:cs="Arial"/>
          <w:sz w:val="24"/>
          <w:szCs w:val="24"/>
          <w:highlight w:val="yellow"/>
        </w:rPr>
        <w:t>[LEA Name]</w:t>
      </w:r>
      <w:r w:rsidRPr="004D0FDA">
        <w:rPr>
          <w:rFonts w:ascii="Arial" w:hAnsi="Arial" w:cs="Arial"/>
          <w:color w:val="0000FF"/>
          <w:sz w:val="24"/>
          <w:szCs w:val="24"/>
        </w:rPr>
        <w:t xml:space="preserve"> </w:t>
      </w:r>
      <w:r w:rsidRPr="004D0FDA">
        <w:rPr>
          <w:rFonts w:ascii="Arial" w:hAnsi="Arial" w:cs="Arial"/>
          <w:sz w:val="24"/>
          <w:szCs w:val="24"/>
        </w:rPr>
        <w:t xml:space="preserve">will review its school status annually as part of the annual budget development and approval process. If the </w:t>
      </w:r>
      <w:r w:rsidRPr="004D0FDA">
        <w:rPr>
          <w:rFonts w:ascii="Arial" w:hAnsi="Arial" w:cs="Arial"/>
          <w:sz w:val="24"/>
          <w:szCs w:val="24"/>
          <w:highlight w:val="yellow"/>
        </w:rPr>
        <w:t>[LEA Name]</w:t>
      </w:r>
      <w:r w:rsidRPr="004D0FDA">
        <w:rPr>
          <w:rFonts w:ascii="Arial" w:hAnsi="Arial" w:cs="Arial"/>
          <w:color w:val="0000FF"/>
          <w:sz w:val="24"/>
          <w:szCs w:val="24"/>
        </w:rPr>
        <w:t xml:space="preserve"> </w:t>
      </w:r>
      <w:r w:rsidRPr="004D0FDA">
        <w:rPr>
          <w:rFonts w:ascii="Arial" w:hAnsi="Arial" w:cs="Arial"/>
          <w:sz w:val="24"/>
          <w:szCs w:val="24"/>
        </w:rPr>
        <w:t>stops receiving Title I funds or is no longer exempt (due to expansion or other reasons), then it will revise these procedures immediately in accordance with State guidance.</w:t>
      </w:r>
    </w:p>
    <w:p w14:paraId="02B3057E" w14:textId="77777777" w:rsidR="007D45CB" w:rsidRPr="004D0FDA" w:rsidRDefault="007D45CB" w:rsidP="007D45C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8E66C2C" w14:textId="77777777" w:rsidR="007D45CB" w:rsidRPr="004D0FDA" w:rsidRDefault="007D45CB" w:rsidP="007D45C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D0FDA">
        <w:rPr>
          <w:rFonts w:ascii="Arial" w:hAnsi="Arial" w:cs="Arial"/>
          <w:sz w:val="24"/>
          <w:szCs w:val="24"/>
        </w:rPr>
        <w:t xml:space="preserve">STAFF: The </w:t>
      </w:r>
      <w:r w:rsidRPr="004D0FDA">
        <w:rPr>
          <w:rFonts w:ascii="Arial" w:hAnsi="Arial" w:cs="Arial"/>
          <w:sz w:val="24"/>
          <w:szCs w:val="24"/>
          <w:highlight w:val="yellow"/>
        </w:rPr>
        <w:t>[Staff Position</w:t>
      </w:r>
      <w:r>
        <w:rPr>
          <w:rFonts w:ascii="Arial" w:hAnsi="Arial" w:cs="Arial"/>
          <w:sz w:val="24"/>
          <w:szCs w:val="24"/>
          <w:highlight w:val="yellow"/>
        </w:rPr>
        <w:t>(</w:t>
      </w:r>
      <w:r w:rsidRPr="004D0FDA">
        <w:rPr>
          <w:rFonts w:ascii="Arial" w:hAnsi="Arial" w:cs="Arial"/>
          <w:sz w:val="24"/>
          <w:szCs w:val="24"/>
          <w:highlight w:val="yellow"/>
        </w:rPr>
        <w:t>s</w:t>
      </w:r>
      <w:r>
        <w:rPr>
          <w:rFonts w:ascii="Arial" w:hAnsi="Arial" w:cs="Arial"/>
          <w:sz w:val="24"/>
          <w:szCs w:val="24"/>
          <w:highlight w:val="yellow"/>
        </w:rPr>
        <w:t>)</w:t>
      </w:r>
      <w:r w:rsidRPr="004D0FDA">
        <w:rPr>
          <w:rFonts w:ascii="Arial" w:hAnsi="Arial" w:cs="Arial"/>
          <w:sz w:val="24"/>
          <w:szCs w:val="24"/>
          <w:highlight w:val="yellow"/>
        </w:rPr>
        <w:t>]</w:t>
      </w:r>
      <w:r w:rsidRPr="004D0FDA">
        <w:rPr>
          <w:rFonts w:ascii="Arial" w:hAnsi="Arial" w:cs="Arial"/>
          <w:sz w:val="24"/>
          <w:szCs w:val="24"/>
        </w:rPr>
        <w:t xml:space="preserve"> will be responsible for compliance, which includes the annual review and recordkeeping and completing the assurance of comparability.</w:t>
      </w:r>
    </w:p>
    <w:p w14:paraId="2AD08CB6" w14:textId="77777777" w:rsidR="007D45CB" w:rsidRPr="004D0FDA" w:rsidRDefault="007D45CB" w:rsidP="007D45C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DB2D97E" w14:textId="77777777" w:rsidR="007D45CB" w:rsidRPr="004D0FDA" w:rsidRDefault="007D45CB" w:rsidP="007D45CB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D0FDA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4D0FDA">
        <w:rPr>
          <w:rFonts w:ascii="Arial" w:hAnsi="Arial" w:cs="Arial"/>
          <w:b/>
          <w:sz w:val="24"/>
          <w:szCs w:val="24"/>
          <w:highlight w:val="yellow"/>
        </w:rPr>
        <w:t>[LEA Name]</w:t>
      </w:r>
      <w:r w:rsidRPr="004D0FDA">
        <w:rPr>
          <w:rFonts w:ascii="Arial" w:hAnsi="Arial" w:cs="Arial"/>
          <w:sz w:val="24"/>
          <w:szCs w:val="24"/>
        </w:rPr>
        <w:t xml:space="preserve"> </w:t>
      </w:r>
      <w:r w:rsidRPr="004D0FDA">
        <w:rPr>
          <w:rFonts w:ascii="Arial" w:hAnsi="Arial" w:cs="Arial"/>
          <w:b/>
          <w:bCs/>
          <w:sz w:val="24"/>
          <w:szCs w:val="24"/>
        </w:rPr>
        <w:t xml:space="preserve">is still required to notify ADE of its exempt status </w:t>
      </w:r>
      <w:r w:rsidRPr="004D0FDA">
        <w:rPr>
          <w:rFonts w:ascii="Arial" w:hAnsi="Arial" w:cs="Arial"/>
          <w:sz w:val="24"/>
          <w:szCs w:val="24"/>
        </w:rPr>
        <w:t xml:space="preserve">by completing and submitting an Assurance of Comparability every other year by the deadline. To meet the notification requirement, </w:t>
      </w:r>
      <w:r w:rsidRPr="004D0FDA">
        <w:rPr>
          <w:rFonts w:ascii="Arial" w:hAnsi="Arial" w:cs="Arial"/>
          <w:sz w:val="24"/>
          <w:szCs w:val="24"/>
          <w:highlight w:val="yellow"/>
        </w:rPr>
        <w:t>[LEA Name]</w:t>
      </w:r>
      <w:r w:rsidRPr="004D0FDA">
        <w:rPr>
          <w:rFonts w:ascii="Arial" w:hAnsi="Arial" w:cs="Arial"/>
          <w:sz w:val="24"/>
          <w:szCs w:val="24"/>
        </w:rPr>
        <w:t xml:space="preserve"> shall submit the “Assurance of Comparability” available </w:t>
      </w:r>
      <w:r w:rsidR="00CC672E">
        <w:rPr>
          <w:rFonts w:ascii="Arial" w:hAnsi="Arial" w:cs="Arial"/>
          <w:sz w:val="24"/>
          <w:szCs w:val="24"/>
        </w:rPr>
        <w:t xml:space="preserve">in </w:t>
      </w:r>
      <w:r w:rsidR="008B6D48">
        <w:rPr>
          <w:rFonts w:ascii="Arial" w:hAnsi="Arial" w:cs="Arial"/>
          <w:sz w:val="24"/>
          <w:szCs w:val="24"/>
        </w:rPr>
        <w:t>EMAC</w:t>
      </w:r>
      <w:r w:rsidR="00CC672E">
        <w:rPr>
          <w:rFonts w:ascii="Arial" w:hAnsi="Arial" w:cs="Arial"/>
          <w:sz w:val="24"/>
          <w:szCs w:val="24"/>
        </w:rPr>
        <w:t>.</w:t>
      </w:r>
    </w:p>
    <w:p w14:paraId="714E732A" w14:textId="77777777" w:rsidR="007D45CB" w:rsidRPr="004D0FDA" w:rsidRDefault="007D45CB" w:rsidP="007D45C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9A4FB88" w14:textId="77777777" w:rsidR="007D45CB" w:rsidRPr="004D0FDA" w:rsidRDefault="007D45CB" w:rsidP="007D45C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952722F" w14:textId="77777777" w:rsidR="007D45CB" w:rsidRPr="004D0FDA" w:rsidRDefault="007D45CB" w:rsidP="007D45C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D0FDA">
        <w:rPr>
          <w:rFonts w:ascii="Arial" w:hAnsi="Arial" w:cs="Arial"/>
          <w:sz w:val="24"/>
          <w:szCs w:val="24"/>
        </w:rPr>
        <w:t xml:space="preserve">DOCUMENTATION OF EXEMPTION: The </w:t>
      </w:r>
      <w:r w:rsidRPr="004D0FDA">
        <w:rPr>
          <w:rFonts w:ascii="Arial" w:hAnsi="Arial" w:cs="Arial"/>
          <w:sz w:val="24"/>
          <w:szCs w:val="24"/>
          <w:highlight w:val="yellow"/>
        </w:rPr>
        <w:t>[LEA Name]</w:t>
      </w:r>
      <w:r w:rsidRPr="004D0FDA">
        <w:rPr>
          <w:rFonts w:ascii="Arial" w:hAnsi="Arial" w:cs="Arial"/>
          <w:color w:val="0000FF"/>
          <w:sz w:val="24"/>
          <w:szCs w:val="24"/>
        </w:rPr>
        <w:t xml:space="preserve"> </w:t>
      </w:r>
      <w:r w:rsidRPr="004D0FDA">
        <w:rPr>
          <w:rFonts w:ascii="Arial" w:hAnsi="Arial" w:cs="Arial"/>
          <w:sz w:val="24"/>
          <w:szCs w:val="24"/>
        </w:rPr>
        <w:t xml:space="preserve">will keep a </w:t>
      </w:r>
      <w:r w:rsidRPr="004D0FDA">
        <w:rPr>
          <w:rFonts w:ascii="Arial" w:hAnsi="Arial" w:cs="Arial"/>
          <w:sz w:val="24"/>
          <w:szCs w:val="24"/>
          <w:highlight w:val="yellow"/>
        </w:rPr>
        <w:t>[paper and/or electronic]</w:t>
      </w:r>
      <w:r w:rsidRPr="004D0FDA">
        <w:rPr>
          <w:rFonts w:ascii="Arial" w:hAnsi="Arial" w:cs="Arial"/>
          <w:sz w:val="24"/>
          <w:szCs w:val="24"/>
        </w:rPr>
        <w:t xml:space="preserve"> file containing these procedures, student counts, and a copy of the biannual Assurance of Comparability available for inspection in the </w:t>
      </w:r>
      <w:r w:rsidRPr="004D0FDA">
        <w:rPr>
          <w:rFonts w:ascii="Arial" w:hAnsi="Arial" w:cs="Arial"/>
          <w:sz w:val="24"/>
          <w:szCs w:val="24"/>
          <w:highlight w:val="yellow"/>
        </w:rPr>
        <w:t>[Location Name]</w:t>
      </w:r>
      <w:r w:rsidRPr="004D0FDA">
        <w:rPr>
          <w:rFonts w:ascii="Arial" w:hAnsi="Arial" w:cs="Arial"/>
          <w:sz w:val="24"/>
          <w:szCs w:val="24"/>
        </w:rPr>
        <w:t xml:space="preserve"> located at </w:t>
      </w:r>
      <w:r w:rsidRPr="004D0FDA">
        <w:rPr>
          <w:rFonts w:ascii="Arial" w:hAnsi="Arial" w:cs="Arial"/>
          <w:sz w:val="24"/>
          <w:szCs w:val="24"/>
          <w:highlight w:val="yellow"/>
        </w:rPr>
        <w:t>[Location Address]</w:t>
      </w:r>
      <w:r w:rsidRPr="004D0FDA">
        <w:rPr>
          <w:rFonts w:ascii="Arial" w:hAnsi="Arial" w:cs="Arial"/>
          <w:sz w:val="24"/>
          <w:szCs w:val="24"/>
        </w:rPr>
        <w:t xml:space="preserve"> for not less than three (3) years.</w:t>
      </w:r>
    </w:p>
    <w:p w14:paraId="6AF376D9" w14:textId="77777777" w:rsidR="00CC672E" w:rsidRDefault="007D45CB" w:rsidP="00CC672E">
      <w:pPr>
        <w:jc w:val="center"/>
        <w:rPr>
          <w:b/>
          <w:i/>
          <w:color w:val="FF0000"/>
        </w:rPr>
      </w:pPr>
      <w:r>
        <w:br w:type="page"/>
      </w:r>
      <w:r w:rsidR="00CC672E" w:rsidRPr="00CC672E">
        <w:rPr>
          <w:b/>
          <w:i/>
          <w:color w:val="FF0000"/>
        </w:rPr>
        <w:lastRenderedPageBreak/>
        <w:t>This generic timeline</w:t>
      </w:r>
      <w:r w:rsidR="00031D8C" w:rsidRPr="00CC672E">
        <w:rPr>
          <w:b/>
          <w:i/>
          <w:color w:val="FF0000"/>
        </w:rPr>
        <w:t xml:space="preserve"> </w:t>
      </w:r>
      <w:r w:rsidR="00CC672E" w:rsidRPr="00CC672E">
        <w:rPr>
          <w:b/>
          <w:i/>
          <w:color w:val="FF0000"/>
        </w:rPr>
        <w:t xml:space="preserve">is </w:t>
      </w:r>
      <w:r w:rsidR="00031D8C" w:rsidRPr="00CC672E">
        <w:rPr>
          <w:b/>
          <w:i/>
          <w:color w:val="FF0000"/>
        </w:rPr>
        <w:t>for complying with the Title I Comparability Requirements</w:t>
      </w:r>
      <w:r w:rsidR="00CC672E" w:rsidRPr="00CC672E">
        <w:rPr>
          <w:b/>
          <w:i/>
          <w:color w:val="FF0000"/>
        </w:rPr>
        <w:t xml:space="preserve">. Please input specific dates, persons reporting, locations, etc. </w:t>
      </w:r>
      <w:r w:rsidR="00CC672E">
        <w:rPr>
          <w:b/>
          <w:i/>
          <w:color w:val="FF0000"/>
        </w:rPr>
        <w:t xml:space="preserve">If there are other steps your LEA performs </w:t>
      </w:r>
      <w:proofErr w:type="gramStart"/>
      <w:r w:rsidR="00CC672E">
        <w:rPr>
          <w:b/>
          <w:i/>
          <w:color w:val="FF0000"/>
        </w:rPr>
        <w:t>in order to</w:t>
      </w:r>
      <w:proofErr w:type="gramEnd"/>
      <w:r w:rsidR="00CC672E">
        <w:rPr>
          <w:b/>
          <w:i/>
          <w:color w:val="FF0000"/>
        </w:rPr>
        <w:t xml:space="preserve"> meet comparability, please list them. If there are steps listed below that are not used, you may remove them.</w:t>
      </w:r>
    </w:p>
    <w:p w14:paraId="192353C0" w14:textId="77777777" w:rsidR="00E92048" w:rsidRPr="00CC672E" w:rsidRDefault="00CC672E" w:rsidP="00CC672E">
      <w:pPr>
        <w:jc w:val="center"/>
        <w:rPr>
          <w:b/>
          <w:i/>
          <w:color w:val="FF0000"/>
        </w:rPr>
      </w:pPr>
      <w:r w:rsidRPr="00CC672E">
        <w:rPr>
          <w:b/>
          <w:i/>
          <w:color w:val="FF0000"/>
        </w:rPr>
        <w:t xml:space="preserve">Please remove these directions before you </w:t>
      </w:r>
      <w:r w:rsidR="008B6D48">
        <w:rPr>
          <w:b/>
          <w:i/>
          <w:color w:val="FF0000"/>
        </w:rPr>
        <w:t>upload to EMAC</w:t>
      </w:r>
      <w:r w:rsidRPr="00CC672E">
        <w:rPr>
          <w:b/>
          <w:i/>
          <w:color w:val="FF0000"/>
        </w:rPr>
        <w:t>.</w:t>
      </w:r>
      <w:r w:rsidR="00A51396" w:rsidRPr="00CC672E">
        <w:rPr>
          <w:b/>
          <w:i/>
          <w:color w:val="FF0000"/>
        </w:rPr>
        <w:br/>
      </w:r>
    </w:p>
    <w:p w14:paraId="7B50BC65" w14:textId="77777777" w:rsidR="00E92048" w:rsidRPr="00031D8C" w:rsidRDefault="00E92048" w:rsidP="00E92048">
      <w:pPr>
        <w:pStyle w:val="BodyText"/>
        <w:spacing w:before="240"/>
        <w:ind w:left="0"/>
        <w:rPr>
          <w:rFonts w:cs="Arial"/>
          <w:b/>
          <w:sz w:val="22"/>
          <w:szCs w:val="22"/>
        </w:rPr>
      </w:pPr>
    </w:p>
    <w:tbl>
      <w:tblPr>
        <w:tblW w:w="5000" w:type="pct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inset" w:sz="6" w:space="0" w:color="auto"/>
          <w:insideV w:val="inset" w:sz="6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50"/>
      </w:tblGrid>
      <w:tr w:rsidR="009B450D" w:rsidRPr="00031D8C" w14:paraId="531EB374" w14:textId="77777777" w:rsidTr="007667B5">
        <w:trPr>
          <w:tblCellSpacing w:w="20" w:type="dxa"/>
        </w:trPr>
        <w:tc>
          <w:tcPr>
            <w:tcW w:w="0" w:type="auto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58721D" w14:textId="77777777" w:rsidR="009B450D" w:rsidRPr="00031D8C" w:rsidRDefault="001772B5" w:rsidP="00031D8C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CC672E">
              <w:rPr>
                <w:rFonts w:ascii="Arial" w:hAnsi="Arial" w:cs="Arial"/>
                <w:b/>
                <w:i/>
              </w:rPr>
              <w:t>(Date)</w:t>
            </w:r>
            <w:r>
              <w:rPr>
                <w:rFonts w:ascii="Arial" w:hAnsi="Arial" w:cs="Arial"/>
                <w:b/>
              </w:rPr>
              <w:t xml:space="preserve"> – Gather information</w:t>
            </w:r>
          </w:p>
        </w:tc>
      </w:tr>
      <w:tr w:rsidR="009B450D" w:rsidRPr="00031D8C" w14:paraId="7BB57D31" w14:textId="77777777" w:rsidTr="007667B5">
        <w:trPr>
          <w:tblCellSpacing w:w="20" w:type="dxa"/>
        </w:trPr>
        <w:tc>
          <w:tcPr>
            <w:tcW w:w="0" w:type="auto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D738B7" w14:textId="77777777" w:rsidR="001747DF" w:rsidRPr="00031D8C" w:rsidRDefault="001772B5" w:rsidP="00031D8C">
            <w:pPr>
              <w:pStyle w:val="TableText"/>
              <w:spacing w:before="20" w:after="6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Obtain the following reports from district staff:</w:t>
            </w:r>
          </w:p>
          <w:p w14:paraId="6AA79A92" w14:textId="77777777" w:rsidR="001747DF" w:rsidRPr="00031D8C" w:rsidRDefault="001772B5" w:rsidP="00031D8C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40</w:t>
            </w:r>
            <w:r w:rsidRPr="001772B5">
              <w:rPr>
                <w:rFonts w:cs="Arial"/>
                <w:spacing w:val="0"/>
                <w:sz w:val="20"/>
                <w:szCs w:val="22"/>
                <w:vertAlign w:val="superscript"/>
              </w:rPr>
              <w:t>th</w:t>
            </w:r>
            <w:r>
              <w:rPr>
                <w:rFonts w:cs="Arial"/>
                <w:spacing w:val="0"/>
                <w:sz w:val="20"/>
                <w:szCs w:val="22"/>
              </w:rPr>
              <w:t xml:space="preserve"> day student count from </w:t>
            </w:r>
            <w:r w:rsidRPr="00CC672E">
              <w:rPr>
                <w:rFonts w:cs="Arial"/>
                <w:i/>
                <w:spacing w:val="0"/>
                <w:sz w:val="20"/>
                <w:szCs w:val="22"/>
              </w:rPr>
              <w:t>(person/reporting system)</w:t>
            </w:r>
          </w:p>
          <w:p w14:paraId="3AE1C7EE" w14:textId="77777777" w:rsidR="00AC332F" w:rsidRDefault="001772B5" w:rsidP="00031D8C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 xml:space="preserve">District staffing positions by school site from </w:t>
            </w:r>
            <w:r w:rsidRPr="00CC672E">
              <w:rPr>
                <w:rFonts w:cs="Arial"/>
                <w:i/>
                <w:spacing w:val="0"/>
                <w:sz w:val="20"/>
                <w:szCs w:val="22"/>
              </w:rPr>
              <w:t>(person/reporting system)</w:t>
            </w:r>
          </w:p>
          <w:p w14:paraId="02BFB6BA" w14:textId="77777777" w:rsidR="001772B5" w:rsidRPr="001772B5" w:rsidRDefault="001772B5" w:rsidP="001772B5">
            <w:pPr>
              <w:pStyle w:val="TableText"/>
              <w:numPr>
                <w:ilvl w:val="1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Report should represent staffing around the 40</w:t>
            </w:r>
            <w:r w:rsidRPr="001772B5">
              <w:rPr>
                <w:rFonts w:cs="Arial"/>
                <w:spacing w:val="0"/>
                <w:sz w:val="20"/>
                <w:szCs w:val="22"/>
                <w:vertAlign w:val="superscript"/>
              </w:rPr>
              <w:t>th</w:t>
            </w:r>
            <w:r>
              <w:rPr>
                <w:rFonts w:cs="Arial"/>
                <w:spacing w:val="0"/>
                <w:sz w:val="20"/>
                <w:szCs w:val="22"/>
              </w:rPr>
              <w:t xml:space="preserve"> </w:t>
            </w:r>
            <w:r w:rsidR="008B6D48">
              <w:rPr>
                <w:rFonts w:cs="Arial"/>
                <w:spacing w:val="0"/>
                <w:sz w:val="20"/>
                <w:szCs w:val="22"/>
              </w:rPr>
              <w:t>daytime</w:t>
            </w:r>
            <w:r>
              <w:rPr>
                <w:rFonts w:cs="Arial"/>
                <w:spacing w:val="0"/>
                <w:sz w:val="20"/>
                <w:szCs w:val="22"/>
              </w:rPr>
              <w:t xml:space="preserve"> period</w:t>
            </w:r>
          </w:p>
          <w:p w14:paraId="0FD1B911" w14:textId="77777777" w:rsidR="009B450D" w:rsidRPr="00031D8C" w:rsidRDefault="001772B5" w:rsidP="00031D8C">
            <w:pPr>
              <w:pStyle w:val="TableText"/>
              <w:numPr>
                <w:ilvl w:val="0"/>
                <w:numId w:val="13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 xml:space="preserve">All reports will be retained </w:t>
            </w:r>
            <w:r w:rsidR="00A51396">
              <w:rPr>
                <w:rFonts w:cs="Arial"/>
                <w:spacing w:val="0"/>
                <w:sz w:val="20"/>
                <w:szCs w:val="22"/>
              </w:rPr>
              <w:t xml:space="preserve">at </w:t>
            </w:r>
            <w:r w:rsidR="00A51396" w:rsidRPr="00CC672E">
              <w:rPr>
                <w:rFonts w:cs="Arial"/>
                <w:i/>
                <w:spacing w:val="0"/>
                <w:sz w:val="20"/>
                <w:szCs w:val="22"/>
              </w:rPr>
              <w:t>(location/computer folder/</w:t>
            </w:r>
            <w:r w:rsidR="009F69EB" w:rsidRPr="00CC672E">
              <w:rPr>
                <w:rFonts w:cs="Arial"/>
                <w:i/>
                <w:spacing w:val="0"/>
                <w:sz w:val="20"/>
                <w:szCs w:val="22"/>
              </w:rPr>
              <w:t>etc.</w:t>
            </w:r>
            <w:r w:rsidR="00A51396" w:rsidRPr="00CC672E">
              <w:rPr>
                <w:rFonts w:cs="Arial"/>
                <w:i/>
                <w:spacing w:val="0"/>
                <w:sz w:val="20"/>
                <w:szCs w:val="22"/>
              </w:rPr>
              <w:t>)</w:t>
            </w:r>
          </w:p>
        </w:tc>
      </w:tr>
      <w:tr w:rsidR="009B450D" w:rsidRPr="00031D8C" w14:paraId="58D30EE7" w14:textId="77777777" w:rsidTr="007667B5">
        <w:trPr>
          <w:tblCellSpacing w:w="20" w:type="dxa"/>
        </w:trPr>
        <w:tc>
          <w:tcPr>
            <w:tcW w:w="0" w:type="auto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90C499" w14:textId="77777777" w:rsidR="009B450D" w:rsidRPr="00031D8C" w:rsidRDefault="00A51396" w:rsidP="00031D8C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CC672E">
              <w:rPr>
                <w:rFonts w:ascii="Arial" w:hAnsi="Arial" w:cs="Arial"/>
                <w:b/>
                <w:i/>
              </w:rPr>
              <w:t>(Date)</w:t>
            </w:r>
            <w:r>
              <w:rPr>
                <w:rFonts w:ascii="Arial" w:hAnsi="Arial" w:cs="Arial"/>
                <w:b/>
              </w:rPr>
              <w:t xml:space="preserve"> – Calculate Comparability/File Exemption</w:t>
            </w:r>
          </w:p>
        </w:tc>
      </w:tr>
      <w:tr w:rsidR="009B450D" w:rsidRPr="00031D8C" w14:paraId="09E31204" w14:textId="77777777" w:rsidTr="007667B5">
        <w:trPr>
          <w:tblCellSpacing w:w="20" w:type="dxa"/>
        </w:trPr>
        <w:tc>
          <w:tcPr>
            <w:tcW w:w="0" w:type="auto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EF8E5C" w14:textId="77777777" w:rsidR="001747DF" w:rsidRPr="00031D8C" w:rsidRDefault="00A51396" w:rsidP="00031D8C">
            <w:pPr>
              <w:pStyle w:val="TableText"/>
              <w:spacing w:before="20" w:after="6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Prepare the comparability tables in the comparability workbook</w:t>
            </w:r>
          </w:p>
          <w:p w14:paraId="08351C1E" w14:textId="77777777" w:rsidR="00B01723" w:rsidRPr="00CC672E" w:rsidRDefault="00A51396" w:rsidP="00031D8C">
            <w:pPr>
              <w:pStyle w:val="TableText"/>
              <w:numPr>
                <w:ilvl w:val="0"/>
                <w:numId w:val="14"/>
              </w:numPr>
              <w:spacing w:before="40" w:after="40"/>
              <w:rPr>
                <w:rFonts w:cs="Arial"/>
                <w:i/>
                <w:spacing w:val="0"/>
                <w:sz w:val="20"/>
                <w:szCs w:val="22"/>
              </w:rPr>
            </w:pPr>
            <w:r w:rsidRPr="00CC672E">
              <w:rPr>
                <w:rFonts w:cs="Arial"/>
                <w:i/>
                <w:spacing w:val="0"/>
                <w:sz w:val="20"/>
                <w:szCs w:val="22"/>
              </w:rPr>
              <w:t>(Describe method used if applicable)</w:t>
            </w:r>
          </w:p>
          <w:p w14:paraId="78846351" w14:textId="77777777" w:rsidR="009B450D" w:rsidRPr="00031D8C" w:rsidRDefault="00A51396" w:rsidP="00A51396">
            <w:pPr>
              <w:pStyle w:val="TableText"/>
              <w:numPr>
                <w:ilvl w:val="0"/>
                <w:numId w:val="14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 w:rsidRPr="00CC672E">
              <w:rPr>
                <w:rFonts w:cs="Arial"/>
                <w:i/>
                <w:spacing w:val="0"/>
                <w:sz w:val="20"/>
                <w:szCs w:val="22"/>
              </w:rPr>
              <w:t>(Describe exemption used if applicable)</w:t>
            </w:r>
          </w:p>
        </w:tc>
      </w:tr>
      <w:tr w:rsidR="009B450D" w:rsidRPr="00031D8C" w14:paraId="3D4AC0DC" w14:textId="77777777" w:rsidTr="007667B5">
        <w:trPr>
          <w:tblCellSpacing w:w="20" w:type="dxa"/>
        </w:trPr>
        <w:tc>
          <w:tcPr>
            <w:tcW w:w="0" w:type="auto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36D308" w14:textId="77777777" w:rsidR="009B450D" w:rsidRPr="00031D8C" w:rsidRDefault="00A51396" w:rsidP="00031D8C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CC672E">
              <w:rPr>
                <w:rFonts w:ascii="Arial" w:hAnsi="Arial" w:cs="Arial"/>
                <w:b/>
                <w:i/>
              </w:rPr>
              <w:t>(Date)</w:t>
            </w:r>
            <w:r>
              <w:rPr>
                <w:rFonts w:ascii="Arial" w:hAnsi="Arial" w:cs="Arial"/>
                <w:b/>
              </w:rPr>
              <w:t xml:space="preserve"> – Review Calculation/Exemption with Business Manager/Superintendent</w:t>
            </w:r>
          </w:p>
        </w:tc>
      </w:tr>
      <w:tr w:rsidR="009B450D" w:rsidRPr="00031D8C" w14:paraId="7FF62034" w14:textId="77777777" w:rsidTr="007667B5">
        <w:trPr>
          <w:tblCellSpacing w:w="20" w:type="dxa"/>
        </w:trPr>
        <w:tc>
          <w:tcPr>
            <w:tcW w:w="0" w:type="auto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5816C" w14:textId="77777777" w:rsidR="001747DF" w:rsidRPr="00031D8C" w:rsidRDefault="00CC672E" w:rsidP="00031D8C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Review outcome of Calculation/Exemption</w:t>
            </w:r>
          </w:p>
          <w:p w14:paraId="54D313B4" w14:textId="77777777" w:rsidR="001747DF" w:rsidRPr="00031D8C" w:rsidRDefault="00A51396" w:rsidP="00031D8C">
            <w:pPr>
              <w:pStyle w:val="TableText"/>
              <w:numPr>
                <w:ilvl w:val="0"/>
                <w:numId w:val="14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Make recommendations if shown not comparable</w:t>
            </w:r>
          </w:p>
          <w:p w14:paraId="40A7C9D1" w14:textId="77777777" w:rsidR="00AC332F" w:rsidRPr="00031D8C" w:rsidRDefault="00A51396" w:rsidP="00A51396">
            <w:pPr>
              <w:pStyle w:val="TableText"/>
              <w:numPr>
                <w:ilvl w:val="0"/>
                <w:numId w:val="14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Review other methods to ensure comparability can be shown</w:t>
            </w:r>
          </w:p>
        </w:tc>
      </w:tr>
      <w:tr w:rsidR="00A51396" w:rsidRPr="00031D8C" w14:paraId="13942102" w14:textId="77777777" w:rsidTr="007667B5">
        <w:trPr>
          <w:tblCellSpacing w:w="20" w:type="dxa"/>
        </w:trPr>
        <w:tc>
          <w:tcPr>
            <w:tcW w:w="0" w:type="auto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E5D75" w14:textId="77777777" w:rsidR="00A51396" w:rsidRPr="00031D8C" w:rsidRDefault="00A51396" w:rsidP="00633424">
            <w:pPr>
              <w:tabs>
                <w:tab w:val="left" w:pos="6120"/>
              </w:tabs>
              <w:rPr>
                <w:rFonts w:ascii="Arial" w:hAnsi="Arial" w:cs="Arial"/>
                <w:b/>
              </w:rPr>
            </w:pPr>
            <w:r w:rsidRPr="00CC672E">
              <w:rPr>
                <w:rFonts w:ascii="Arial" w:hAnsi="Arial" w:cs="Arial"/>
                <w:b/>
                <w:i/>
              </w:rPr>
              <w:t>(Date)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633424">
              <w:rPr>
                <w:rFonts w:ascii="Arial" w:hAnsi="Arial" w:cs="Arial"/>
                <w:b/>
              </w:rPr>
              <w:t>Submit Comparability/Exemption report to the Department of Education</w:t>
            </w:r>
          </w:p>
        </w:tc>
      </w:tr>
      <w:tr w:rsidR="00A51396" w:rsidRPr="00031D8C" w14:paraId="140CA463" w14:textId="77777777" w:rsidTr="007667B5">
        <w:trPr>
          <w:tblCellSpacing w:w="20" w:type="dxa"/>
        </w:trPr>
        <w:tc>
          <w:tcPr>
            <w:tcW w:w="0" w:type="auto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C2F27D" w14:textId="77777777" w:rsidR="00A51396" w:rsidRDefault="00633424" w:rsidP="00031D8C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 xml:space="preserve">Comparability report can be filed through </w:t>
            </w:r>
            <w:r w:rsidR="008B6D48">
              <w:rPr>
                <w:rFonts w:cs="Arial"/>
                <w:spacing w:val="0"/>
                <w:sz w:val="20"/>
                <w:szCs w:val="22"/>
              </w:rPr>
              <w:t>EMAC</w:t>
            </w:r>
          </w:p>
          <w:p w14:paraId="35DD780F" w14:textId="77777777" w:rsidR="00633424" w:rsidRDefault="00633424" w:rsidP="00633424">
            <w:pPr>
              <w:pStyle w:val="TableText"/>
              <w:numPr>
                <w:ilvl w:val="0"/>
                <w:numId w:val="14"/>
              </w:numPr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Supporting evidence should be filed with the workbook</w:t>
            </w:r>
          </w:p>
          <w:p w14:paraId="0C539857" w14:textId="77777777" w:rsidR="00633424" w:rsidRDefault="00633424" w:rsidP="00633424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</w:p>
          <w:p w14:paraId="7E08009E" w14:textId="77777777" w:rsidR="00633424" w:rsidRPr="00633424" w:rsidRDefault="00633424" w:rsidP="00CC672E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  <w:r>
              <w:rPr>
                <w:rFonts w:cs="Arial"/>
                <w:spacing w:val="0"/>
                <w:sz w:val="20"/>
                <w:szCs w:val="22"/>
              </w:rPr>
              <w:t>Assurance of Comparability is to</w:t>
            </w:r>
            <w:r w:rsidR="00274875">
              <w:rPr>
                <w:rFonts w:cs="Arial"/>
                <w:spacing w:val="0"/>
                <w:sz w:val="20"/>
                <w:szCs w:val="22"/>
              </w:rPr>
              <w:t xml:space="preserve"> be</w:t>
            </w:r>
            <w:r>
              <w:rPr>
                <w:rFonts w:cs="Arial"/>
                <w:spacing w:val="0"/>
                <w:sz w:val="20"/>
                <w:szCs w:val="22"/>
              </w:rPr>
              <w:t xml:space="preserve"> filed through </w:t>
            </w:r>
            <w:r w:rsidR="008B6D48">
              <w:rPr>
                <w:rFonts w:cs="Arial"/>
                <w:spacing w:val="0"/>
                <w:sz w:val="20"/>
                <w:szCs w:val="22"/>
              </w:rPr>
              <w:t>EMAC</w:t>
            </w:r>
            <w:r>
              <w:rPr>
                <w:rFonts w:cs="Arial"/>
                <w:spacing w:val="0"/>
                <w:sz w:val="20"/>
                <w:szCs w:val="22"/>
              </w:rPr>
              <w:t xml:space="preserve"> </w:t>
            </w:r>
            <w:r w:rsidRPr="00633424">
              <w:rPr>
                <w:rFonts w:cs="Arial"/>
                <w:spacing w:val="0"/>
                <w:sz w:val="20"/>
                <w:szCs w:val="22"/>
              </w:rPr>
              <w:t>biennial</w:t>
            </w:r>
            <w:r>
              <w:rPr>
                <w:rFonts w:cs="Arial"/>
                <w:spacing w:val="0"/>
                <w:sz w:val="20"/>
                <w:szCs w:val="22"/>
              </w:rPr>
              <w:t>ly attesting that our sites are comparab</w:t>
            </w:r>
            <w:r w:rsidR="00CC672E">
              <w:rPr>
                <w:rFonts w:cs="Arial"/>
                <w:spacing w:val="0"/>
                <w:sz w:val="20"/>
                <w:szCs w:val="22"/>
              </w:rPr>
              <w:t>le</w:t>
            </w:r>
            <w:r>
              <w:rPr>
                <w:rFonts w:cs="Arial"/>
                <w:spacing w:val="0"/>
                <w:sz w:val="20"/>
                <w:szCs w:val="22"/>
              </w:rPr>
              <w:t xml:space="preserve"> or are exempt.</w:t>
            </w:r>
          </w:p>
        </w:tc>
      </w:tr>
    </w:tbl>
    <w:p w14:paraId="440B2E86" w14:textId="77777777" w:rsidR="00EE1F50" w:rsidRPr="00031D8C" w:rsidRDefault="00EE1F50" w:rsidP="001772B5">
      <w:pPr>
        <w:pStyle w:val="BodyText"/>
        <w:spacing w:before="240"/>
        <w:ind w:left="0"/>
        <w:rPr>
          <w:rFonts w:cs="Arial"/>
        </w:rPr>
      </w:pPr>
    </w:p>
    <w:sectPr w:rsidR="00EE1F50" w:rsidRPr="00031D8C" w:rsidSect="00F20A8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D332E" w14:textId="77777777" w:rsidR="00B10F8E" w:rsidRDefault="00B10F8E">
      <w:r>
        <w:separator/>
      </w:r>
    </w:p>
  </w:endnote>
  <w:endnote w:type="continuationSeparator" w:id="0">
    <w:p w14:paraId="0F065084" w14:textId="77777777" w:rsidR="00B10F8E" w:rsidRDefault="00B1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3CE5E" w14:textId="77777777" w:rsidR="001772B5" w:rsidRDefault="00633424" w:rsidP="00633424">
    <w:pPr>
      <w:pStyle w:val="Footer"/>
      <w:tabs>
        <w:tab w:val="clear" w:pos="4320"/>
        <w:tab w:val="clear" w:pos="8640"/>
        <w:tab w:val="right" w:pos="9360"/>
      </w:tabs>
    </w:pPr>
    <w:r>
      <w:tab/>
      <w:t>(Any other school information from Letterhead)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DFA3C" w14:textId="77777777" w:rsidR="00A12C9E" w:rsidRPr="007D45CB" w:rsidRDefault="007D45CB">
    <w:pPr>
      <w:pStyle w:val="Footer"/>
      <w:rPr>
        <w:rFonts w:ascii="Arial" w:hAnsi="Arial" w:cs="Arial"/>
      </w:rPr>
    </w:pPr>
    <w:r w:rsidRPr="0069728B">
      <w:rPr>
        <w:rFonts w:ascii="Arial" w:hAnsi="Arial" w:cs="Arial"/>
      </w:rPr>
      <w:t>Rev. 07/14/2014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4AC3C" w14:textId="77777777" w:rsidR="00B10F8E" w:rsidRDefault="00B10F8E">
      <w:r>
        <w:separator/>
      </w:r>
    </w:p>
  </w:footnote>
  <w:footnote w:type="continuationSeparator" w:id="0">
    <w:p w14:paraId="597F851D" w14:textId="77777777" w:rsidR="00B10F8E" w:rsidRDefault="00B1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20"/>
      <w:gridCol w:w="2166"/>
      <w:gridCol w:w="4069"/>
    </w:tblGrid>
    <w:tr w:rsidR="001772B5" w14:paraId="5434E396" w14:textId="77777777" w:rsidTr="007667B5">
      <w:tc>
        <w:tcPr>
          <w:tcW w:w="3192" w:type="dxa"/>
          <w:shd w:val="clear" w:color="auto" w:fill="auto"/>
        </w:tcPr>
        <w:p w14:paraId="6D78A966" w14:textId="77777777" w:rsidR="001772B5" w:rsidRDefault="001772B5" w:rsidP="007667B5">
          <w:pPr>
            <w:pStyle w:val="Header"/>
            <w:jc w:val="center"/>
          </w:pPr>
        </w:p>
        <w:p w14:paraId="49079382" w14:textId="77777777" w:rsidR="001772B5" w:rsidRDefault="001772B5" w:rsidP="007667B5">
          <w:pPr>
            <w:pStyle w:val="Header"/>
            <w:jc w:val="center"/>
          </w:pPr>
        </w:p>
        <w:p w14:paraId="42B2C834" w14:textId="77777777" w:rsidR="001772B5" w:rsidRDefault="001772B5" w:rsidP="007667B5">
          <w:pPr>
            <w:pStyle w:val="Header"/>
            <w:jc w:val="center"/>
          </w:pPr>
          <w:r>
            <w:t>School Letter Head</w:t>
          </w:r>
        </w:p>
        <w:p w14:paraId="5FB754E5" w14:textId="77777777" w:rsidR="001772B5" w:rsidRDefault="001772B5" w:rsidP="007667B5">
          <w:pPr>
            <w:pStyle w:val="Header"/>
            <w:jc w:val="center"/>
          </w:pPr>
        </w:p>
        <w:p w14:paraId="1740C583" w14:textId="77777777" w:rsidR="001772B5" w:rsidRDefault="001772B5" w:rsidP="007667B5">
          <w:pPr>
            <w:pStyle w:val="Header"/>
            <w:jc w:val="center"/>
          </w:pPr>
        </w:p>
      </w:tc>
      <w:tc>
        <w:tcPr>
          <w:tcW w:w="2226" w:type="dxa"/>
          <w:tcBorders>
            <w:top w:val="nil"/>
            <w:bottom w:val="nil"/>
            <w:right w:val="nil"/>
          </w:tcBorders>
          <w:shd w:val="clear" w:color="auto" w:fill="auto"/>
        </w:tcPr>
        <w:p w14:paraId="2AE5F0C8" w14:textId="77777777" w:rsidR="001772B5" w:rsidRDefault="001772B5" w:rsidP="007667B5">
          <w:pPr>
            <w:pStyle w:val="Header"/>
          </w:pPr>
        </w:p>
      </w:tc>
      <w:tc>
        <w:tcPr>
          <w:tcW w:w="41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52F95A" w14:textId="77777777" w:rsidR="001772B5" w:rsidRDefault="001772B5" w:rsidP="007667B5">
          <w:pPr>
            <w:pStyle w:val="Header"/>
            <w:jc w:val="center"/>
          </w:pPr>
          <w:r>
            <w:t>(Contact Information for main point of contact)</w:t>
          </w:r>
        </w:p>
      </w:tc>
    </w:tr>
  </w:tbl>
  <w:p w14:paraId="0C0BCEEE" w14:textId="77777777" w:rsidR="001772B5" w:rsidRDefault="00177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CE3CF" w14:textId="77777777" w:rsidR="00031D8C" w:rsidRDefault="00031D8C">
    <w:pPr>
      <w:pStyle w:val="Header"/>
    </w:pPr>
  </w:p>
  <w:p w14:paraId="098C2A49" w14:textId="77777777" w:rsidR="00031D8C" w:rsidRDefault="00031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3F5"/>
    <w:multiLevelType w:val="hybridMultilevel"/>
    <w:tmpl w:val="9606F424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B6D51"/>
    <w:multiLevelType w:val="hybridMultilevel"/>
    <w:tmpl w:val="0CB03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65D4E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6D5A"/>
    <w:multiLevelType w:val="hybridMultilevel"/>
    <w:tmpl w:val="CAF6D4AC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3" w15:restartNumberingAfterBreak="0">
    <w:nsid w:val="18B5142F"/>
    <w:multiLevelType w:val="hybridMultilevel"/>
    <w:tmpl w:val="E2BE1848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FE7EDD"/>
    <w:multiLevelType w:val="hybridMultilevel"/>
    <w:tmpl w:val="67F81FBE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5" w15:restartNumberingAfterBreak="0">
    <w:nsid w:val="1F472537"/>
    <w:multiLevelType w:val="hybridMultilevel"/>
    <w:tmpl w:val="DF90428A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 w15:restartNumberingAfterBreak="0">
    <w:nsid w:val="2B772CA4"/>
    <w:multiLevelType w:val="hybridMultilevel"/>
    <w:tmpl w:val="986E2ECC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7" w15:restartNumberingAfterBreak="0">
    <w:nsid w:val="37BC6756"/>
    <w:multiLevelType w:val="hybridMultilevel"/>
    <w:tmpl w:val="2772A6C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5823719"/>
    <w:multiLevelType w:val="hybridMultilevel"/>
    <w:tmpl w:val="E9D06FE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1B0160"/>
    <w:multiLevelType w:val="hybridMultilevel"/>
    <w:tmpl w:val="D234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B419E"/>
    <w:multiLevelType w:val="hybridMultilevel"/>
    <w:tmpl w:val="376A4010"/>
    <w:lvl w:ilvl="0" w:tplc="CF765D4E">
      <w:start w:val="1"/>
      <w:numFmt w:val="bullet"/>
      <w:lvlText w:val=""/>
      <w:lvlJc w:val="left"/>
      <w:pPr>
        <w:tabs>
          <w:tab w:val="num" w:pos="792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738E7282"/>
    <w:multiLevelType w:val="hybridMultilevel"/>
    <w:tmpl w:val="76B8FE36"/>
    <w:lvl w:ilvl="0" w:tplc="15EE9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4C73A1"/>
    <w:multiLevelType w:val="hybridMultilevel"/>
    <w:tmpl w:val="52108A9E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9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8C"/>
    <w:rsid w:val="000204B6"/>
    <w:rsid w:val="00020F7D"/>
    <w:rsid w:val="000300CD"/>
    <w:rsid w:val="0003182B"/>
    <w:rsid w:val="00031D8C"/>
    <w:rsid w:val="00033D95"/>
    <w:rsid w:val="00040BA0"/>
    <w:rsid w:val="000617A0"/>
    <w:rsid w:val="000C2B4E"/>
    <w:rsid w:val="000D6360"/>
    <w:rsid w:val="000F3667"/>
    <w:rsid w:val="0010326A"/>
    <w:rsid w:val="0012711C"/>
    <w:rsid w:val="001747DF"/>
    <w:rsid w:val="001772B5"/>
    <w:rsid w:val="002101FE"/>
    <w:rsid w:val="00274875"/>
    <w:rsid w:val="002904E1"/>
    <w:rsid w:val="00290628"/>
    <w:rsid w:val="002B0277"/>
    <w:rsid w:val="002B0E41"/>
    <w:rsid w:val="0031227A"/>
    <w:rsid w:val="003215AD"/>
    <w:rsid w:val="0032306A"/>
    <w:rsid w:val="003472B0"/>
    <w:rsid w:val="00351A1E"/>
    <w:rsid w:val="00355084"/>
    <w:rsid w:val="00356540"/>
    <w:rsid w:val="003A7E7B"/>
    <w:rsid w:val="003B4805"/>
    <w:rsid w:val="003F4F5C"/>
    <w:rsid w:val="004322F8"/>
    <w:rsid w:val="00462A0C"/>
    <w:rsid w:val="00482E4F"/>
    <w:rsid w:val="0048686C"/>
    <w:rsid w:val="00535D6C"/>
    <w:rsid w:val="0053773D"/>
    <w:rsid w:val="00573B0F"/>
    <w:rsid w:val="005A5954"/>
    <w:rsid w:val="005E19D9"/>
    <w:rsid w:val="005E517B"/>
    <w:rsid w:val="0060359A"/>
    <w:rsid w:val="00615541"/>
    <w:rsid w:val="00633424"/>
    <w:rsid w:val="00650D97"/>
    <w:rsid w:val="00666098"/>
    <w:rsid w:val="0067001E"/>
    <w:rsid w:val="0068469B"/>
    <w:rsid w:val="006D297B"/>
    <w:rsid w:val="006F1978"/>
    <w:rsid w:val="0076441F"/>
    <w:rsid w:val="007667B5"/>
    <w:rsid w:val="007921AD"/>
    <w:rsid w:val="007A5330"/>
    <w:rsid w:val="007B3E74"/>
    <w:rsid w:val="007B4495"/>
    <w:rsid w:val="007D45CB"/>
    <w:rsid w:val="007E3484"/>
    <w:rsid w:val="00830B04"/>
    <w:rsid w:val="00853DEC"/>
    <w:rsid w:val="00865A07"/>
    <w:rsid w:val="00885EF8"/>
    <w:rsid w:val="008B6D48"/>
    <w:rsid w:val="008D6A6B"/>
    <w:rsid w:val="008F0C3C"/>
    <w:rsid w:val="00924666"/>
    <w:rsid w:val="00931E02"/>
    <w:rsid w:val="00940994"/>
    <w:rsid w:val="00953173"/>
    <w:rsid w:val="00955842"/>
    <w:rsid w:val="00955870"/>
    <w:rsid w:val="009569B0"/>
    <w:rsid w:val="00966167"/>
    <w:rsid w:val="009B0EAE"/>
    <w:rsid w:val="009B450D"/>
    <w:rsid w:val="009E7948"/>
    <w:rsid w:val="009F69EB"/>
    <w:rsid w:val="00A12C9E"/>
    <w:rsid w:val="00A41B4A"/>
    <w:rsid w:val="00A51396"/>
    <w:rsid w:val="00A54CBD"/>
    <w:rsid w:val="00AB0D11"/>
    <w:rsid w:val="00AB1313"/>
    <w:rsid w:val="00AC332F"/>
    <w:rsid w:val="00AD0702"/>
    <w:rsid w:val="00AE6035"/>
    <w:rsid w:val="00B01723"/>
    <w:rsid w:val="00B02817"/>
    <w:rsid w:val="00B10F8E"/>
    <w:rsid w:val="00B13345"/>
    <w:rsid w:val="00B479F6"/>
    <w:rsid w:val="00B70793"/>
    <w:rsid w:val="00B77BDD"/>
    <w:rsid w:val="00B840EF"/>
    <w:rsid w:val="00BC4577"/>
    <w:rsid w:val="00BE1B5F"/>
    <w:rsid w:val="00BE4437"/>
    <w:rsid w:val="00C06E2A"/>
    <w:rsid w:val="00C16DFC"/>
    <w:rsid w:val="00C32130"/>
    <w:rsid w:val="00C66207"/>
    <w:rsid w:val="00C85F79"/>
    <w:rsid w:val="00CA29DD"/>
    <w:rsid w:val="00CA30CF"/>
    <w:rsid w:val="00CA6252"/>
    <w:rsid w:val="00CC672E"/>
    <w:rsid w:val="00D03DF3"/>
    <w:rsid w:val="00D17C4D"/>
    <w:rsid w:val="00D63E13"/>
    <w:rsid w:val="00D73D44"/>
    <w:rsid w:val="00DA6D70"/>
    <w:rsid w:val="00DB0DFE"/>
    <w:rsid w:val="00DD1023"/>
    <w:rsid w:val="00DD408D"/>
    <w:rsid w:val="00DE29F6"/>
    <w:rsid w:val="00E15AB0"/>
    <w:rsid w:val="00E479D2"/>
    <w:rsid w:val="00E71C66"/>
    <w:rsid w:val="00E84B97"/>
    <w:rsid w:val="00E92048"/>
    <w:rsid w:val="00EA192A"/>
    <w:rsid w:val="00EC681B"/>
    <w:rsid w:val="00ED029C"/>
    <w:rsid w:val="00EE174B"/>
    <w:rsid w:val="00EE1F50"/>
    <w:rsid w:val="00F04802"/>
    <w:rsid w:val="00F20A72"/>
    <w:rsid w:val="00F20A81"/>
    <w:rsid w:val="00F375B5"/>
    <w:rsid w:val="00F72E4B"/>
    <w:rsid w:val="00F8548E"/>
    <w:rsid w:val="00F901D3"/>
    <w:rsid w:val="00FD7B8B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B79740B"/>
  <w15:chartTrackingRefBased/>
  <w15:docId w15:val="{E59C6E71-2A65-4A28-9D9B-8AD21554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F50"/>
    <w:pPr>
      <w:widowControl w:val="0"/>
    </w:pPr>
  </w:style>
  <w:style w:type="paragraph" w:styleId="Heading1">
    <w:name w:val="heading 1"/>
    <w:basedOn w:val="Normal"/>
    <w:next w:val="Normal"/>
    <w:qFormat/>
    <w:rsid w:val="00EE1F50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ieldLabel">
    <w:name w:val="FieldLabel"/>
    <w:basedOn w:val="Normal"/>
    <w:rsid w:val="00EE1F50"/>
    <w:pPr>
      <w:spacing w:before="20" w:after="60"/>
    </w:pPr>
  </w:style>
  <w:style w:type="paragraph" w:customStyle="1" w:styleId="FieldText">
    <w:name w:val="FieldText"/>
    <w:basedOn w:val="Normal"/>
    <w:rsid w:val="00EE1F50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EE1F50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semiHidden/>
    <w:rsid w:val="00EE1F50"/>
    <w:pPr>
      <w:tabs>
        <w:tab w:val="right" w:leader="dot" w:pos="9071"/>
      </w:tabs>
    </w:pPr>
    <w:rPr>
      <w:smallCaps/>
    </w:rPr>
  </w:style>
  <w:style w:type="paragraph" w:styleId="Footer">
    <w:name w:val="footer"/>
    <w:basedOn w:val="Normal"/>
    <w:link w:val="FooterChar"/>
    <w:rsid w:val="00EE1F5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E19D9"/>
    <w:rPr>
      <w:sz w:val="16"/>
      <w:szCs w:val="16"/>
    </w:rPr>
  </w:style>
  <w:style w:type="paragraph" w:styleId="CommentText">
    <w:name w:val="annotation text"/>
    <w:basedOn w:val="Normal"/>
    <w:semiHidden/>
    <w:rsid w:val="005E19D9"/>
  </w:style>
  <w:style w:type="paragraph" w:styleId="CommentSubject">
    <w:name w:val="annotation subject"/>
    <w:basedOn w:val="CommentText"/>
    <w:next w:val="CommentText"/>
    <w:semiHidden/>
    <w:rsid w:val="005E19D9"/>
    <w:rPr>
      <w:b/>
      <w:bCs/>
    </w:rPr>
  </w:style>
  <w:style w:type="paragraph" w:styleId="BalloonText">
    <w:name w:val="Balloon Text"/>
    <w:basedOn w:val="Normal"/>
    <w:semiHidden/>
    <w:rsid w:val="005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00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92048"/>
    <w:pPr>
      <w:widowControl/>
      <w:spacing w:after="120" w:line="0" w:lineRule="atLeast"/>
      <w:ind w:left="360"/>
    </w:pPr>
    <w:rPr>
      <w:rFonts w:ascii="Arial" w:hAnsi="Arial"/>
      <w:spacing w:val="-5"/>
    </w:rPr>
  </w:style>
  <w:style w:type="paragraph" w:customStyle="1" w:styleId="TableText">
    <w:name w:val="Table Text"/>
    <w:basedOn w:val="Normal"/>
    <w:rsid w:val="009B450D"/>
    <w:pPr>
      <w:widowControl/>
      <w:ind w:left="14"/>
    </w:pPr>
    <w:rPr>
      <w:rFonts w:ascii="Arial" w:hAnsi="Arial"/>
      <w:spacing w:val="-5"/>
      <w:sz w:val="16"/>
    </w:rPr>
  </w:style>
  <w:style w:type="table" w:styleId="TableWeb2">
    <w:name w:val="Table Web 2"/>
    <w:basedOn w:val="TableNormal"/>
    <w:rsid w:val="009B450D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uiPriority w:val="99"/>
    <w:rsid w:val="00031D8C"/>
  </w:style>
  <w:style w:type="character" w:customStyle="1" w:styleId="FooterChar">
    <w:name w:val="Footer Char"/>
    <w:link w:val="Footer"/>
    <w:rsid w:val="00031D8C"/>
  </w:style>
  <w:style w:type="character" w:styleId="Hyperlink">
    <w:name w:val="Hyperlink"/>
    <w:rsid w:val="007D4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own\AppData\Roaming\Microsoft\Templates\Project%20overview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0922-4300-4AB3-A119-CF386C60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overview statement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Chris</dc:creator>
  <cp:keywords/>
  <cp:lastModifiedBy>Dillard, Kym</cp:lastModifiedBy>
  <cp:revision>2</cp:revision>
  <cp:lastPrinted>2014-11-06T23:59:00Z</cp:lastPrinted>
  <dcterms:created xsi:type="dcterms:W3CDTF">2021-06-14T22:41:00Z</dcterms:created>
  <dcterms:modified xsi:type="dcterms:W3CDTF">2021-06-14T22:41:00Z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TC011414131033</vt:lpwstr>
  </property>
</Properties>
</file>