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0578" w14:textId="77777777" w:rsidR="005B308D" w:rsidRDefault="005B308D" w:rsidP="005B308D">
      <w:pPr>
        <w:pStyle w:val="Title"/>
        <w:pBdr>
          <w:bottom w:val="single" w:sz="8" w:space="14" w:color="4F81BD"/>
        </w:pBdr>
        <w:spacing w:before="1560"/>
        <w:jc w:val="center"/>
        <w:rPr>
          <w:rFonts w:cs="Calibri"/>
          <w:b/>
        </w:rPr>
      </w:pPr>
      <w:r>
        <w:rPr>
          <w:rFonts w:cs="Calibri"/>
          <w:b/>
          <w:noProof/>
        </w:rPr>
        <w:drawing>
          <wp:inline distT="0" distB="0" distL="0" distR="0" wp14:anchorId="2BFA3A1B" wp14:editId="3993FA0C">
            <wp:extent cx="1621790" cy="16154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14:paraId="2710BEF0" w14:textId="77777777" w:rsidR="005B308D" w:rsidRDefault="005B308D" w:rsidP="005B308D">
      <w:pPr>
        <w:pStyle w:val="Title"/>
        <w:pBdr>
          <w:bottom w:val="single" w:sz="8" w:space="14" w:color="4F81BD"/>
        </w:pBdr>
        <w:spacing w:before="1560"/>
        <w:jc w:val="center"/>
        <w:rPr>
          <w:rFonts w:ascii="Arial" w:hAnsi="Arial" w:cs="Arial"/>
          <w:b/>
        </w:rPr>
      </w:pPr>
    </w:p>
    <w:p w14:paraId="4879B7B5" w14:textId="77777777" w:rsidR="005B308D" w:rsidRPr="00871F3E" w:rsidRDefault="005B308D" w:rsidP="005B308D">
      <w:pPr>
        <w:pStyle w:val="Title"/>
        <w:pBdr>
          <w:bottom w:val="single" w:sz="8" w:space="14" w:color="4F81BD"/>
        </w:pBdr>
        <w:spacing w:before="1560" w:after="100" w:afterAutospacing="1"/>
        <w:jc w:val="center"/>
        <w:rPr>
          <w:rFonts w:cs="Calibri"/>
        </w:rPr>
      </w:pPr>
      <w:r>
        <w:rPr>
          <w:rFonts w:ascii="Arial" w:hAnsi="Arial" w:cs="Arial"/>
          <w:b/>
        </w:rPr>
        <w:t>Arizona Mathematics</w:t>
      </w:r>
      <w:r w:rsidRPr="006327A9">
        <w:rPr>
          <w:rFonts w:ascii="Arial" w:hAnsi="Arial" w:cs="Arial"/>
          <w:b/>
        </w:rPr>
        <w:t xml:space="preserve"> Standards</w:t>
      </w:r>
    </w:p>
    <w:p w14:paraId="00896F47" w14:textId="77777777" w:rsidR="005B308D" w:rsidRDefault="00E65548" w:rsidP="005B308D">
      <w:pPr>
        <w:pStyle w:val="Subtitle"/>
        <w:spacing w:after="100" w:afterAutospacing="1"/>
        <w:rPr>
          <w:rStyle w:val="Heading1Char"/>
          <w:rFonts w:eastAsia="Calibri" w:cs="Calibri"/>
          <w:lang w:val="en-US"/>
        </w:rPr>
      </w:pPr>
      <w:r>
        <w:rPr>
          <w:rFonts w:ascii="Arial" w:hAnsi="Arial" w:cs="Arial"/>
          <w:sz w:val="52"/>
          <w:szCs w:val="52"/>
        </w:rPr>
        <w:t>Fourth</w:t>
      </w:r>
      <w:r w:rsidR="005B308D">
        <w:rPr>
          <w:rFonts w:ascii="Arial" w:hAnsi="Arial" w:cs="Arial"/>
          <w:sz w:val="52"/>
          <w:szCs w:val="52"/>
        </w:rPr>
        <w:t xml:space="preserve"> Credit Mathematics – General Guidance</w:t>
      </w:r>
    </w:p>
    <w:p w14:paraId="337EA613" w14:textId="77777777" w:rsidR="005B308D" w:rsidRPr="00DD298C" w:rsidRDefault="005B308D" w:rsidP="005B308D">
      <w:pPr>
        <w:pStyle w:val="CoreHeading0"/>
        <w:spacing w:before="1200"/>
        <w:jc w:val="center"/>
        <w:rPr>
          <w:rFonts w:cs="Calibri"/>
        </w:rPr>
      </w:pPr>
      <w:r w:rsidRPr="00DD298C">
        <w:rPr>
          <w:rStyle w:val="Heading1Char"/>
          <w:rFonts w:eastAsia="Calibri" w:cs="Calibri"/>
        </w:rPr>
        <w:t>Arizona DepaRtment of Education</w:t>
      </w:r>
    </w:p>
    <w:p w14:paraId="1CB5F1FC" w14:textId="77777777" w:rsidR="005B308D" w:rsidRPr="00DD298C" w:rsidRDefault="005B308D" w:rsidP="005B308D">
      <w:pPr>
        <w:pStyle w:val="Heading1"/>
      </w:pPr>
      <w:r w:rsidRPr="00DD298C">
        <w:rPr>
          <w:rStyle w:val="Heading2Char"/>
          <w:rFonts w:ascii="Calibri" w:eastAsia="Calibri" w:hAnsi="Calibri" w:cs="Calibri"/>
        </w:rPr>
        <w:t>High Academic Standards for Students</w:t>
      </w:r>
    </w:p>
    <w:p w14:paraId="0B110FAD" w14:textId="282F9FA0" w:rsidR="005B308D" w:rsidRPr="008777BA" w:rsidRDefault="00CF3607" w:rsidP="005B308D">
      <w:pPr>
        <w:jc w:val="center"/>
        <w:rPr>
          <w:rStyle w:val="PlaceholderText"/>
          <w:rFonts w:ascii="Calibri" w:hAnsi="Calibri" w:cs="Calibri"/>
          <w:color w:val="000000" w:themeColor="text1"/>
        </w:rPr>
        <w:sectPr w:rsidR="005B308D" w:rsidRPr="008777BA" w:rsidSect="00CF3607">
          <w:footerReference w:type="first" r:id="rId9"/>
          <w:pgSz w:w="15840" w:h="12240" w:orient="landscape"/>
          <w:pgMar w:top="1296" w:right="1440" w:bottom="1296" w:left="1440" w:header="720" w:footer="720" w:gutter="0"/>
          <w:cols w:space="720"/>
          <w:docGrid w:linePitch="360"/>
        </w:sectPr>
      </w:pPr>
      <w:r>
        <w:rPr>
          <w:rStyle w:val="PlaceholderText"/>
          <w:rFonts w:ascii="Calibri" w:hAnsi="Calibri" w:cs="Calibri"/>
          <w:color w:val="000000" w:themeColor="text1"/>
        </w:rPr>
        <w:t>September</w:t>
      </w:r>
      <w:bookmarkStart w:id="0" w:name="_GoBack"/>
      <w:bookmarkEnd w:id="0"/>
      <w:r w:rsidR="004C3EF5">
        <w:rPr>
          <w:rStyle w:val="PlaceholderText"/>
          <w:rFonts w:ascii="Calibri" w:hAnsi="Calibri" w:cs="Calibri"/>
          <w:color w:val="000000" w:themeColor="text1"/>
        </w:rPr>
        <w:t xml:space="preserve"> </w:t>
      </w:r>
      <w:r w:rsidR="005B308D">
        <w:rPr>
          <w:rStyle w:val="PlaceholderText"/>
          <w:rFonts w:ascii="Calibri" w:hAnsi="Calibri" w:cs="Calibri"/>
          <w:color w:val="000000" w:themeColor="text1"/>
        </w:rPr>
        <w:t>2018</w:t>
      </w:r>
    </w:p>
    <w:p w14:paraId="289327BE" w14:textId="77777777" w:rsidR="00890ABC" w:rsidRDefault="002259DF" w:rsidP="00890ABC">
      <w:pPr>
        <w:shd w:val="clear" w:color="auto" w:fill="F7F7F7"/>
        <w:rPr>
          <w:rFonts w:asciiTheme="minorHAnsi" w:hAnsiTheme="minorHAnsi"/>
          <w:b/>
          <w:sz w:val="28"/>
          <w:szCs w:val="28"/>
        </w:rPr>
      </w:pPr>
      <w:r>
        <w:rPr>
          <w:rFonts w:asciiTheme="minorHAnsi" w:hAnsiTheme="minorHAnsi"/>
          <w:b/>
          <w:sz w:val="28"/>
          <w:szCs w:val="28"/>
        </w:rPr>
        <w:lastRenderedPageBreak/>
        <w:t>Background</w:t>
      </w:r>
    </w:p>
    <w:p w14:paraId="30687596" w14:textId="77777777" w:rsidR="00890ABC" w:rsidRDefault="00890ABC" w:rsidP="00890ABC">
      <w:pPr>
        <w:rPr>
          <w:rFonts w:ascii="Calibri" w:hAnsi="Calibri" w:cs="Calibri"/>
        </w:rPr>
      </w:pPr>
    </w:p>
    <w:p w14:paraId="3273B740" w14:textId="77777777" w:rsidR="00552A36" w:rsidRDefault="00552A36" w:rsidP="00552A36">
      <w:pPr>
        <w:spacing w:after="240"/>
        <w:rPr>
          <w:rFonts w:asciiTheme="minorHAnsi" w:hAnsiTheme="minorHAnsi" w:cstheme="minorHAnsi"/>
        </w:rPr>
      </w:pPr>
      <w:bookmarkStart w:id="1" w:name="_Hlk511723208"/>
      <w:r w:rsidRPr="00227E22">
        <w:rPr>
          <w:rFonts w:asciiTheme="minorHAnsi" w:hAnsiTheme="minorHAnsi" w:cstheme="minorHAnsi"/>
        </w:rPr>
        <w:t xml:space="preserve">In December 2007, the Arizona State Board of Education adopted </w:t>
      </w:r>
      <w:hyperlink r:id="rId10" w:history="1">
        <w:r w:rsidRPr="001C2613">
          <w:rPr>
            <w:rStyle w:val="Hyperlink"/>
            <w:rFonts w:asciiTheme="minorHAnsi" w:hAnsiTheme="minorHAnsi" w:cstheme="minorHAnsi"/>
          </w:rPr>
          <w:t>R7-2-302.02</w:t>
        </w:r>
      </w:hyperlink>
      <w:r w:rsidRPr="00227E22">
        <w:rPr>
          <w:rFonts w:asciiTheme="minorHAnsi" w:hAnsiTheme="minorHAnsi" w:cstheme="minorHAnsi"/>
          <w:b/>
          <w:bCs/>
        </w:rPr>
        <w:t xml:space="preserve"> </w:t>
      </w:r>
      <w:r w:rsidRPr="00227E22">
        <w:rPr>
          <w:rFonts w:asciiTheme="minorHAnsi" w:hAnsiTheme="minorHAnsi" w:cstheme="minorHAnsi"/>
          <w:bCs/>
        </w:rPr>
        <w:t>which increased the</w:t>
      </w:r>
      <w:r w:rsidRPr="00227E22">
        <w:rPr>
          <w:rFonts w:asciiTheme="minorHAnsi" w:hAnsiTheme="minorHAnsi" w:cstheme="minorHAnsi"/>
        </w:rPr>
        <w:t xml:space="preserve"> gradua</w:t>
      </w:r>
      <w:r w:rsidR="00B00451">
        <w:rPr>
          <w:rFonts w:asciiTheme="minorHAnsi" w:hAnsiTheme="minorHAnsi" w:cstheme="minorHAnsi"/>
        </w:rPr>
        <w:t xml:space="preserve">tion requirements to include a fourth </w:t>
      </w:r>
      <w:r w:rsidRPr="00227E22">
        <w:rPr>
          <w:rFonts w:asciiTheme="minorHAnsi" w:hAnsiTheme="minorHAnsi" w:cstheme="minorHAnsi"/>
        </w:rPr>
        <w:t>credit of mathematics beginning with the graduation class of 2013.</w:t>
      </w:r>
      <w:r w:rsidR="002259DF">
        <w:rPr>
          <w:rFonts w:asciiTheme="minorHAnsi" w:hAnsiTheme="minorHAnsi" w:cstheme="minorHAnsi"/>
        </w:rPr>
        <w:t xml:space="preserve"> </w:t>
      </w:r>
    </w:p>
    <w:p w14:paraId="1C49D37A" w14:textId="6FBF9E8B" w:rsidR="002259DF" w:rsidRDefault="0087001D" w:rsidP="00552A36">
      <w:pPr>
        <w:spacing w:after="240"/>
        <w:rPr>
          <w:rFonts w:asciiTheme="minorHAnsi" w:hAnsiTheme="minorHAnsi" w:cstheme="minorHAnsi"/>
        </w:rPr>
      </w:pPr>
      <w:r>
        <w:rPr>
          <w:rFonts w:asciiTheme="minorHAnsi" w:hAnsiTheme="minorHAnsi" w:cstheme="minorHAnsi"/>
        </w:rPr>
        <w:t>Fourth-</w:t>
      </w:r>
      <w:r w:rsidR="002259DF">
        <w:rPr>
          <w:rFonts w:asciiTheme="minorHAnsi" w:hAnsiTheme="minorHAnsi" w:cstheme="minorHAnsi"/>
        </w:rPr>
        <w:t xml:space="preserve">credit mathematics course guidance was developed in 2008 with the adoption of </w:t>
      </w:r>
      <w:r w:rsidR="00E65548">
        <w:rPr>
          <w:rFonts w:asciiTheme="minorHAnsi" w:hAnsiTheme="minorHAnsi" w:cstheme="minorHAnsi"/>
        </w:rPr>
        <w:t xml:space="preserve">specific Algebra </w:t>
      </w:r>
      <w:r w:rsidR="002259DF">
        <w:rPr>
          <w:rFonts w:asciiTheme="minorHAnsi" w:hAnsiTheme="minorHAnsi" w:cstheme="minorHAnsi"/>
        </w:rPr>
        <w:t xml:space="preserve">2 standards.  </w:t>
      </w:r>
      <w:r w:rsidR="00781BEB">
        <w:rPr>
          <w:rFonts w:asciiTheme="minorHAnsi" w:hAnsiTheme="minorHAnsi" w:cstheme="minorHAnsi"/>
        </w:rPr>
        <w:t>A list</w:t>
      </w:r>
      <w:r w:rsidR="002259DF">
        <w:rPr>
          <w:rFonts w:asciiTheme="minorHAnsi" w:hAnsiTheme="minorHAnsi" w:cstheme="minorHAnsi"/>
        </w:rPr>
        <w:t xml:space="preserve"> of possible courses</w:t>
      </w:r>
      <w:r w:rsidR="00E65548">
        <w:rPr>
          <w:rFonts w:asciiTheme="minorHAnsi" w:hAnsiTheme="minorHAnsi" w:cstheme="minorHAnsi"/>
        </w:rPr>
        <w:t xml:space="preserve"> guided local educational agencies’</w:t>
      </w:r>
      <w:r w:rsidR="002259DF">
        <w:rPr>
          <w:rFonts w:asciiTheme="minorHAnsi" w:hAnsiTheme="minorHAnsi" w:cstheme="minorHAnsi"/>
        </w:rPr>
        <w:t xml:space="preserve"> as the</w:t>
      </w:r>
      <w:r w:rsidR="00DD33ED">
        <w:rPr>
          <w:rFonts w:asciiTheme="minorHAnsi" w:hAnsiTheme="minorHAnsi" w:cstheme="minorHAnsi"/>
        </w:rPr>
        <w:t>y</w:t>
      </w:r>
      <w:r w:rsidR="002259DF">
        <w:rPr>
          <w:rFonts w:asciiTheme="minorHAnsi" w:hAnsiTheme="minorHAnsi" w:cstheme="minorHAnsi"/>
        </w:rPr>
        <w:t xml:space="preserve"> implemen</w:t>
      </w:r>
      <w:r w:rsidR="00DD33ED">
        <w:rPr>
          <w:rFonts w:asciiTheme="minorHAnsi" w:hAnsiTheme="minorHAnsi" w:cstheme="minorHAnsi"/>
        </w:rPr>
        <w:t>ted common standards for Algebra</w:t>
      </w:r>
      <w:r w:rsidR="00600CFA">
        <w:rPr>
          <w:rFonts w:asciiTheme="minorHAnsi" w:hAnsiTheme="minorHAnsi" w:cstheme="minorHAnsi"/>
        </w:rPr>
        <w:t xml:space="preserve"> 2</w:t>
      </w:r>
      <w:r w:rsidR="00DD33ED">
        <w:rPr>
          <w:rFonts w:asciiTheme="minorHAnsi" w:hAnsiTheme="minorHAnsi" w:cstheme="minorHAnsi"/>
        </w:rPr>
        <w:t xml:space="preserve"> </w:t>
      </w:r>
      <w:r w:rsidR="00A71F8C">
        <w:rPr>
          <w:rFonts w:asciiTheme="minorHAnsi" w:hAnsiTheme="minorHAnsi" w:cstheme="minorHAnsi"/>
        </w:rPr>
        <w:t xml:space="preserve">and continuing or </w:t>
      </w:r>
      <w:r w:rsidR="00E65548">
        <w:rPr>
          <w:rFonts w:asciiTheme="minorHAnsi" w:hAnsiTheme="minorHAnsi" w:cstheme="minorHAnsi"/>
        </w:rPr>
        <w:t>new fourth</w:t>
      </w:r>
      <w:r w:rsidR="00DD33ED">
        <w:rPr>
          <w:rFonts w:asciiTheme="minorHAnsi" w:hAnsiTheme="minorHAnsi" w:cstheme="minorHAnsi"/>
        </w:rPr>
        <w:t xml:space="preserve"> credit math courses.</w:t>
      </w:r>
      <w:r w:rsidR="00E65548">
        <w:rPr>
          <w:rFonts w:asciiTheme="minorHAnsi" w:hAnsiTheme="minorHAnsi" w:cstheme="minorHAnsi"/>
        </w:rPr>
        <w:t xml:space="preserve">  Guidance linked the possible fourth </w:t>
      </w:r>
      <w:r w:rsidR="00DD33ED">
        <w:rPr>
          <w:rFonts w:asciiTheme="minorHAnsi" w:hAnsiTheme="minorHAnsi" w:cstheme="minorHAnsi"/>
        </w:rPr>
        <w:t xml:space="preserve">credit courses to the 2008 Arizona Mathematics Standards.  </w:t>
      </w:r>
      <w:r w:rsidR="002259DF">
        <w:rPr>
          <w:rFonts w:asciiTheme="minorHAnsi" w:hAnsiTheme="minorHAnsi" w:cstheme="minorHAnsi"/>
        </w:rPr>
        <w:t xml:space="preserve"> </w:t>
      </w:r>
      <w:r w:rsidR="00DD33ED">
        <w:rPr>
          <w:rFonts w:asciiTheme="minorHAnsi" w:hAnsiTheme="minorHAnsi" w:cstheme="minorHAnsi"/>
        </w:rPr>
        <w:t>Current research sup</w:t>
      </w:r>
      <w:r w:rsidR="00E65548">
        <w:rPr>
          <w:rFonts w:asciiTheme="minorHAnsi" w:hAnsiTheme="minorHAnsi" w:cstheme="minorHAnsi"/>
        </w:rPr>
        <w:t xml:space="preserve">ported the implementation of a fourth </w:t>
      </w:r>
      <w:r w:rsidR="00DD33ED">
        <w:rPr>
          <w:rFonts w:asciiTheme="minorHAnsi" w:hAnsiTheme="minorHAnsi" w:cstheme="minorHAnsi"/>
        </w:rPr>
        <w:t>credit for math so the pathway of math</w:t>
      </w:r>
      <w:r w:rsidR="00A71F8C">
        <w:rPr>
          <w:rFonts w:asciiTheme="minorHAnsi" w:hAnsiTheme="minorHAnsi" w:cstheme="minorHAnsi"/>
        </w:rPr>
        <w:t>ematical</w:t>
      </w:r>
      <w:r w:rsidR="00DD33ED">
        <w:rPr>
          <w:rFonts w:asciiTheme="minorHAnsi" w:hAnsiTheme="minorHAnsi" w:cstheme="minorHAnsi"/>
        </w:rPr>
        <w:t xml:space="preserve"> </w:t>
      </w:r>
      <w:r w:rsidR="00A71F8C">
        <w:rPr>
          <w:rFonts w:asciiTheme="minorHAnsi" w:hAnsiTheme="minorHAnsi" w:cstheme="minorHAnsi"/>
        </w:rPr>
        <w:t>learning</w:t>
      </w:r>
      <w:r w:rsidR="00DD33ED">
        <w:rPr>
          <w:rFonts w:asciiTheme="minorHAnsi" w:hAnsiTheme="minorHAnsi" w:cstheme="minorHAnsi"/>
        </w:rPr>
        <w:t xml:space="preserve"> was seamless through to career and college opportunities.</w:t>
      </w:r>
    </w:p>
    <w:p w14:paraId="5742BA82" w14:textId="597A1CF3" w:rsidR="001E40C5" w:rsidRDefault="001E40C5" w:rsidP="001E40C5">
      <w:pPr>
        <w:spacing w:after="240"/>
        <w:rPr>
          <w:rFonts w:asciiTheme="minorHAnsi" w:hAnsiTheme="minorHAnsi" w:cstheme="minorHAnsi"/>
        </w:rPr>
      </w:pPr>
      <w:r>
        <w:rPr>
          <w:rFonts w:asciiTheme="minorHAnsi" w:hAnsiTheme="minorHAnsi" w:cstheme="minorHAnsi"/>
        </w:rPr>
        <w:t xml:space="preserve">For many districts, the </w:t>
      </w:r>
      <w:r w:rsidR="0087001D">
        <w:rPr>
          <w:rFonts w:asciiTheme="minorHAnsi" w:hAnsiTheme="minorHAnsi" w:cstheme="minorHAnsi"/>
        </w:rPr>
        <w:t>fourth-</w:t>
      </w:r>
      <w:r w:rsidRPr="00BF4685">
        <w:rPr>
          <w:rFonts w:asciiTheme="minorHAnsi" w:hAnsiTheme="minorHAnsi" w:cstheme="minorHAnsi"/>
        </w:rPr>
        <w:t xml:space="preserve">credit requirement for mathematics </w:t>
      </w:r>
      <w:r w:rsidR="00A71F8C">
        <w:rPr>
          <w:rFonts w:asciiTheme="minorHAnsi" w:hAnsiTheme="minorHAnsi" w:cstheme="minorHAnsi"/>
        </w:rPr>
        <w:t>posed</w:t>
      </w:r>
      <w:r w:rsidRPr="00BF4685">
        <w:rPr>
          <w:rFonts w:asciiTheme="minorHAnsi" w:hAnsiTheme="minorHAnsi" w:cstheme="minorHAnsi"/>
        </w:rPr>
        <w:t xml:space="preserve"> a significant challenge. </w:t>
      </w:r>
      <w:r w:rsidR="00C04601">
        <w:rPr>
          <w:rFonts w:asciiTheme="minorHAnsi" w:hAnsiTheme="minorHAnsi" w:cstheme="minorHAnsi"/>
        </w:rPr>
        <w:t>Multiple pathways besides</w:t>
      </w:r>
      <w:r w:rsidRPr="00BF4685">
        <w:rPr>
          <w:rFonts w:asciiTheme="minorHAnsi" w:hAnsiTheme="minorHAnsi" w:cstheme="minorHAnsi"/>
        </w:rPr>
        <w:t xml:space="preserve"> </w:t>
      </w:r>
      <w:r w:rsidR="00C04601">
        <w:rPr>
          <w:rFonts w:asciiTheme="minorHAnsi" w:hAnsiTheme="minorHAnsi" w:cstheme="minorHAnsi"/>
        </w:rPr>
        <w:t>Prec</w:t>
      </w:r>
      <w:r w:rsidRPr="00BF4685">
        <w:rPr>
          <w:rFonts w:asciiTheme="minorHAnsi" w:hAnsiTheme="minorHAnsi" w:cstheme="minorHAnsi"/>
        </w:rPr>
        <w:t>alc</w:t>
      </w:r>
      <w:r>
        <w:rPr>
          <w:rFonts w:asciiTheme="minorHAnsi" w:hAnsiTheme="minorHAnsi" w:cstheme="minorHAnsi"/>
        </w:rPr>
        <w:t xml:space="preserve">ulus </w:t>
      </w:r>
      <w:r w:rsidR="00A71F8C">
        <w:rPr>
          <w:rFonts w:asciiTheme="minorHAnsi" w:hAnsiTheme="minorHAnsi" w:cstheme="minorHAnsi"/>
        </w:rPr>
        <w:t>were</w:t>
      </w:r>
      <w:r w:rsidR="00C04601">
        <w:rPr>
          <w:rFonts w:asciiTheme="minorHAnsi" w:hAnsiTheme="minorHAnsi" w:cstheme="minorHAnsi"/>
        </w:rPr>
        <w:t xml:space="preserve"> needed to meet the needs and future goals for all students</w:t>
      </w:r>
      <w:r w:rsidRPr="00BF4685">
        <w:rPr>
          <w:rFonts w:asciiTheme="minorHAnsi" w:hAnsiTheme="minorHAnsi" w:cstheme="minorHAnsi"/>
        </w:rPr>
        <w:t xml:space="preserve">. New </w:t>
      </w:r>
      <w:r>
        <w:rPr>
          <w:rFonts w:asciiTheme="minorHAnsi" w:hAnsiTheme="minorHAnsi" w:cstheme="minorHAnsi"/>
        </w:rPr>
        <w:t xml:space="preserve">mathematics course pathways </w:t>
      </w:r>
      <w:r w:rsidR="00A71F8C">
        <w:rPr>
          <w:rFonts w:asciiTheme="minorHAnsi" w:hAnsiTheme="minorHAnsi" w:cstheme="minorHAnsi"/>
        </w:rPr>
        <w:t>were</w:t>
      </w:r>
      <w:r>
        <w:rPr>
          <w:rFonts w:asciiTheme="minorHAnsi" w:hAnsiTheme="minorHAnsi" w:cstheme="minorHAnsi"/>
        </w:rPr>
        <w:t xml:space="preserve"> developed and available to </w:t>
      </w:r>
      <w:r w:rsidRPr="00BF4685">
        <w:rPr>
          <w:rFonts w:asciiTheme="minorHAnsi" w:hAnsiTheme="minorHAnsi" w:cstheme="minorHAnsi"/>
        </w:rPr>
        <w:t xml:space="preserve">students </w:t>
      </w:r>
      <w:r>
        <w:rPr>
          <w:rFonts w:asciiTheme="minorHAnsi" w:hAnsiTheme="minorHAnsi" w:cstheme="minorHAnsi"/>
        </w:rPr>
        <w:t xml:space="preserve">to support their </w:t>
      </w:r>
      <w:r w:rsidRPr="00BF4685">
        <w:rPr>
          <w:rFonts w:asciiTheme="minorHAnsi" w:hAnsiTheme="minorHAnsi" w:cstheme="minorHAnsi"/>
        </w:rPr>
        <w:t>success in all four cred</w:t>
      </w:r>
      <w:r>
        <w:rPr>
          <w:rFonts w:asciiTheme="minorHAnsi" w:hAnsiTheme="minorHAnsi" w:cstheme="minorHAnsi"/>
        </w:rPr>
        <w:t xml:space="preserve">its of high school mathematics and achievement of their future </w:t>
      </w:r>
      <w:r w:rsidR="00E65548">
        <w:rPr>
          <w:rFonts w:asciiTheme="minorHAnsi" w:hAnsiTheme="minorHAnsi" w:cstheme="minorHAnsi"/>
        </w:rPr>
        <w:t xml:space="preserve">college and career </w:t>
      </w:r>
      <w:r>
        <w:rPr>
          <w:rFonts w:asciiTheme="minorHAnsi" w:hAnsiTheme="minorHAnsi" w:cstheme="minorHAnsi"/>
        </w:rPr>
        <w:t>goals.</w:t>
      </w:r>
      <w:r w:rsidR="00E65548">
        <w:rPr>
          <w:rFonts w:asciiTheme="minorHAnsi" w:hAnsiTheme="minorHAnsi" w:cstheme="minorHAnsi"/>
        </w:rPr>
        <w:t xml:space="preserve"> The 2008 Fourth Credit Guidance document</w:t>
      </w:r>
      <w:r w:rsidR="00A71F8C">
        <w:rPr>
          <w:rFonts w:asciiTheme="minorHAnsi" w:hAnsiTheme="minorHAnsi" w:cstheme="minorHAnsi"/>
        </w:rPr>
        <w:t xml:space="preserve"> supported these new pathways</w:t>
      </w:r>
      <w:r w:rsidR="00E65548">
        <w:rPr>
          <w:rFonts w:asciiTheme="minorHAnsi" w:hAnsiTheme="minorHAnsi" w:cstheme="minorHAnsi"/>
        </w:rPr>
        <w:t xml:space="preserve"> with options linked to the 2008</w:t>
      </w:r>
      <w:r w:rsidR="00A71F8C">
        <w:rPr>
          <w:rFonts w:asciiTheme="minorHAnsi" w:hAnsiTheme="minorHAnsi" w:cstheme="minorHAnsi"/>
        </w:rPr>
        <w:t xml:space="preserve"> M</w:t>
      </w:r>
      <w:r w:rsidR="00E65548">
        <w:rPr>
          <w:rFonts w:asciiTheme="minorHAnsi" w:hAnsiTheme="minorHAnsi" w:cstheme="minorHAnsi"/>
        </w:rPr>
        <w:t>athematics Standards</w:t>
      </w:r>
      <w:r w:rsidR="00A71F8C">
        <w:rPr>
          <w:rFonts w:asciiTheme="minorHAnsi" w:hAnsiTheme="minorHAnsi" w:cstheme="minorHAnsi"/>
        </w:rPr>
        <w:t>.</w:t>
      </w:r>
    </w:p>
    <w:p w14:paraId="35FA04DA" w14:textId="5F4EDE47" w:rsidR="00600CFA" w:rsidRDefault="00A71F8C" w:rsidP="00552A36">
      <w:pPr>
        <w:spacing w:after="240"/>
        <w:rPr>
          <w:rFonts w:asciiTheme="minorHAnsi" w:hAnsiTheme="minorHAnsi" w:cstheme="minorHAnsi"/>
        </w:rPr>
      </w:pPr>
      <w:r>
        <w:rPr>
          <w:rFonts w:asciiTheme="minorHAnsi" w:hAnsiTheme="minorHAnsi" w:cstheme="minorHAnsi"/>
        </w:rPr>
        <w:t>In 2010</w:t>
      </w:r>
      <w:r w:rsidR="00E65548">
        <w:rPr>
          <w:rFonts w:asciiTheme="minorHAnsi" w:hAnsiTheme="minorHAnsi" w:cstheme="minorHAnsi"/>
        </w:rPr>
        <w:t>,</w:t>
      </w:r>
      <w:r w:rsidR="00600CFA">
        <w:rPr>
          <w:rFonts w:asciiTheme="minorHAnsi" w:hAnsiTheme="minorHAnsi" w:cstheme="minorHAnsi"/>
        </w:rPr>
        <w:t xml:space="preserve"> Arizona </w:t>
      </w:r>
      <w:r>
        <w:rPr>
          <w:rFonts w:asciiTheme="minorHAnsi" w:hAnsiTheme="minorHAnsi" w:cstheme="minorHAnsi"/>
        </w:rPr>
        <w:t>adopted new state</w:t>
      </w:r>
      <w:r w:rsidR="00600CFA">
        <w:rPr>
          <w:rFonts w:asciiTheme="minorHAnsi" w:hAnsiTheme="minorHAnsi" w:cstheme="minorHAnsi"/>
        </w:rPr>
        <w:t xml:space="preserve"> Mathematics Standards.</w:t>
      </w:r>
      <w:r w:rsidR="00E65548">
        <w:rPr>
          <w:rFonts w:asciiTheme="minorHAnsi" w:hAnsiTheme="minorHAnsi" w:cstheme="minorHAnsi"/>
        </w:rPr>
        <w:t xml:space="preserve">  Th</w:t>
      </w:r>
      <w:r w:rsidR="0087001D">
        <w:rPr>
          <w:rFonts w:asciiTheme="minorHAnsi" w:hAnsiTheme="minorHAnsi" w:cstheme="minorHAnsi"/>
        </w:rPr>
        <w:t>e standards were identified by conceptual categories rather than sequential courses.  S</w:t>
      </w:r>
      <w:r w:rsidR="00600CFA">
        <w:rPr>
          <w:rFonts w:asciiTheme="minorHAnsi" w:hAnsiTheme="minorHAnsi" w:cstheme="minorHAnsi"/>
        </w:rPr>
        <w:t>ome co</w:t>
      </w:r>
      <w:r w:rsidR="00B00451">
        <w:rPr>
          <w:rFonts w:asciiTheme="minorHAnsi" w:hAnsiTheme="minorHAnsi" w:cstheme="minorHAnsi"/>
        </w:rPr>
        <w:t xml:space="preserve">mmon standards </w:t>
      </w:r>
      <w:r w:rsidR="0087001D">
        <w:rPr>
          <w:rFonts w:asciiTheme="minorHAnsi" w:hAnsiTheme="minorHAnsi" w:cstheme="minorHAnsi"/>
        </w:rPr>
        <w:t xml:space="preserve">existed </w:t>
      </w:r>
      <w:r w:rsidR="00B00451">
        <w:rPr>
          <w:rFonts w:asciiTheme="minorHAnsi" w:hAnsiTheme="minorHAnsi" w:cstheme="minorHAnsi"/>
        </w:rPr>
        <w:t>between Algebra 1</w:t>
      </w:r>
      <w:r w:rsidR="00E65548">
        <w:rPr>
          <w:rFonts w:asciiTheme="minorHAnsi" w:hAnsiTheme="minorHAnsi" w:cstheme="minorHAnsi"/>
        </w:rPr>
        <w:t xml:space="preserve"> and Algebra 2,</w:t>
      </w:r>
      <w:r w:rsidR="00600CFA">
        <w:rPr>
          <w:rFonts w:asciiTheme="minorHAnsi" w:hAnsiTheme="minorHAnsi" w:cstheme="minorHAnsi"/>
        </w:rPr>
        <w:t xml:space="preserve"> </w:t>
      </w:r>
      <w:r>
        <w:rPr>
          <w:rFonts w:asciiTheme="minorHAnsi" w:hAnsiTheme="minorHAnsi" w:cstheme="minorHAnsi"/>
        </w:rPr>
        <w:t>making it</w:t>
      </w:r>
      <w:r w:rsidR="00600CFA">
        <w:rPr>
          <w:rFonts w:asciiTheme="minorHAnsi" w:hAnsiTheme="minorHAnsi" w:cstheme="minorHAnsi"/>
        </w:rPr>
        <w:t xml:space="preserve"> difficult to establish what the learning boundary was between the two courses.  Plus Standards were also included in the 2010 Mathematics Standards.  The Plus Standards represented content that all high sc</w:t>
      </w:r>
      <w:r w:rsidR="00B00451">
        <w:rPr>
          <w:rFonts w:asciiTheme="minorHAnsi" w:hAnsiTheme="minorHAnsi" w:cstheme="minorHAnsi"/>
        </w:rPr>
        <w:t>hool students should experience.</w:t>
      </w:r>
    </w:p>
    <w:p w14:paraId="5398E57A" w14:textId="304D0CDC" w:rsidR="001E40C5" w:rsidRDefault="00B00451" w:rsidP="00552A36">
      <w:pPr>
        <w:spacing w:after="240"/>
        <w:rPr>
          <w:rFonts w:asciiTheme="minorHAnsi" w:hAnsiTheme="minorHAnsi" w:cstheme="minorHAnsi"/>
        </w:rPr>
      </w:pPr>
      <w:r>
        <w:rPr>
          <w:rFonts w:asciiTheme="minorHAnsi" w:hAnsiTheme="minorHAnsi" w:cstheme="minorHAnsi"/>
        </w:rPr>
        <w:t>A</w:t>
      </w:r>
      <w:r w:rsidR="00A71F8C">
        <w:rPr>
          <w:rFonts w:asciiTheme="minorHAnsi" w:hAnsiTheme="minorHAnsi" w:cstheme="minorHAnsi"/>
        </w:rPr>
        <w:t xml:space="preserve"> new</w:t>
      </w:r>
      <w:r w:rsidR="00600CFA">
        <w:rPr>
          <w:rFonts w:asciiTheme="minorHAnsi" w:hAnsiTheme="minorHAnsi" w:cstheme="minorHAnsi"/>
        </w:rPr>
        <w:t xml:space="preserve"> state level assessment</w:t>
      </w:r>
      <w:r>
        <w:rPr>
          <w:rFonts w:asciiTheme="minorHAnsi" w:hAnsiTheme="minorHAnsi" w:cstheme="minorHAnsi"/>
        </w:rPr>
        <w:t xml:space="preserve"> was adopted in 2015</w:t>
      </w:r>
      <w:r w:rsidR="00600CFA">
        <w:rPr>
          <w:rFonts w:asciiTheme="minorHAnsi" w:hAnsiTheme="minorHAnsi" w:cstheme="minorHAnsi"/>
        </w:rPr>
        <w:t xml:space="preserve"> in grades 3 through high school </w:t>
      </w:r>
      <w:r w:rsidR="00A71F8C">
        <w:rPr>
          <w:rFonts w:asciiTheme="minorHAnsi" w:hAnsiTheme="minorHAnsi" w:cstheme="minorHAnsi"/>
        </w:rPr>
        <w:t>for mathematics</w:t>
      </w:r>
      <w:r w:rsidR="00600CFA">
        <w:rPr>
          <w:rFonts w:asciiTheme="minorHAnsi" w:hAnsiTheme="minorHAnsi" w:cstheme="minorHAnsi"/>
        </w:rPr>
        <w:t>.  This assessment would move the assessment system towards computerized administration</w:t>
      </w:r>
      <w:r w:rsidR="00E65548">
        <w:rPr>
          <w:rFonts w:asciiTheme="minorHAnsi" w:hAnsiTheme="minorHAnsi" w:cstheme="minorHAnsi"/>
        </w:rPr>
        <w:t>,</w:t>
      </w:r>
      <w:r w:rsidR="00600CFA">
        <w:rPr>
          <w:rFonts w:asciiTheme="minorHAnsi" w:hAnsiTheme="minorHAnsi" w:cstheme="minorHAnsi"/>
        </w:rPr>
        <w:t xml:space="preserve"> allowing for standard accommodations for all students as well as a higher level of rigor or cognitive demand represented in the individual assessment questions.</w:t>
      </w:r>
      <w:r w:rsidR="00A71F8C">
        <w:rPr>
          <w:rFonts w:asciiTheme="minorHAnsi" w:hAnsiTheme="minorHAnsi" w:cstheme="minorHAnsi"/>
        </w:rPr>
        <w:t xml:space="preserve"> The state level assessment </w:t>
      </w:r>
      <w:r w:rsidR="00E65548">
        <w:rPr>
          <w:rFonts w:asciiTheme="minorHAnsi" w:hAnsiTheme="minorHAnsi" w:cstheme="minorHAnsi"/>
        </w:rPr>
        <w:t>moved to end-of-</w:t>
      </w:r>
      <w:r w:rsidR="001E40C5">
        <w:rPr>
          <w:rFonts w:asciiTheme="minorHAnsi" w:hAnsiTheme="minorHAnsi" w:cstheme="minorHAnsi"/>
        </w:rPr>
        <w:t>course assessm</w:t>
      </w:r>
      <w:r>
        <w:rPr>
          <w:rFonts w:asciiTheme="minorHAnsi" w:hAnsiTheme="minorHAnsi" w:cstheme="minorHAnsi"/>
        </w:rPr>
        <w:t>ent in high school for Algebra 1, Geometry</w:t>
      </w:r>
      <w:r w:rsidR="0087001D">
        <w:rPr>
          <w:rFonts w:asciiTheme="minorHAnsi" w:hAnsiTheme="minorHAnsi" w:cstheme="minorHAnsi"/>
        </w:rPr>
        <w:t>,</w:t>
      </w:r>
      <w:r>
        <w:rPr>
          <w:rFonts w:asciiTheme="minorHAnsi" w:hAnsiTheme="minorHAnsi" w:cstheme="minorHAnsi"/>
        </w:rPr>
        <w:t xml:space="preserve"> and Algebra 2</w:t>
      </w:r>
      <w:r w:rsidR="001E40C5">
        <w:rPr>
          <w:rFonts w:asciiTheme="minorHAnsi" w:hAnsiTheme="minorHAnsi" w:cstheme="minorHAnsi"/>
        </w:rPr>
        <w:t>.</w:t>
      </w:r>
    </w:p>
    <w:p w14:paraId="2BA861B2" w14:textId="1F616819" w:rsidR="00A71F8C" w:rsidRDefault="00A71F8C" w:rsidP="00552A36">
      <w:pPr>
        <w:spacing w:after="240"/>
        <w:rPr>
          <w:rFonts w:asciiTheme="minorHAnsi" w:hAnsiTheme="minorHAnsi" w:cstheme="minorHAnsi"/>
        </w:rPr>
      </w:pPr>
      <w:r w:rsidRPr="00227E22">
        <w:rPr>
          <w:rFonts w:asciiTheme="minorHAnsi" w:hAnsiTheme="minorHAnsi" w:cstheme="minorHAnsi"/>
        </w:rPr>
        <w:t xml:space="preserve">In December 2016, the State Board of Education approved the Arizona Mathematics Standards </w:t>
      </w:r>
      <w:r>
        <w:rPr>
          <w:rFonts w:asciiTheme="minorHAnsi" w:hAnsiTheme="minorHAnsi" w:cstheme="minorHAnsi"/>
        </w:rPr>
        <w:t>from Kindergarten through Algebra 2</w:t>
      </w:r>
      <w:r w:rsidRPr="00227E22">
        <w:rPr>
          <w:rFonts w:asciiTheme="minorHAnsi" w:hAnsiTheme="minorHAnsi" w:cstheme="minorHAnsi"/>
        </w:rPr>
        <w:t xml:space="preserve">.  </w:t>
      </w:r>
      <w:r w:rsidR="0087001D">
        <w:rPr>
          <w:rFonts w:asciiTheme="minorHAnsi" w:hAnsiTheme="minorHAnsi" w:cstheme="minorHAnsi"/>
        </w:rPr>
        <w:t xml:space="preserve">The high school standards are presented by sequential courses. </w:t>
      </w:r>
      <w:r>
        <w:rPr>
          <w:rFonts w:asciiTheme="minorHAnsi" w:hAnsiTheme="minorHAnsi" w:cstheme="minorHAnsi"/>
        </w:rPr>
        <w:t>The Arizona Mathematics Standards also include Plus Standards which represent content that every high school students should have the opportu</w:t>
      </w:r>
      <w:r w:rsidR="00E65548">
        <w:rPr>
          <w:rFonts w:asciiTheme="minorHAnsi" w:hAnsiTheme="minorHAnsi" w:cstheme="minorHAnsi"/>
        </w:rPr>
        <w:t>nity to experience either in a fourth</w:t>
      </w:r>
      <w:r>
        <w:rPr>
          <w:rFonts w:asciiTheme="minorHAnsi" w:hAnsiTheme="minorHAnsi" w:cstheme="minorHAnsi"/>
        </w:rPr>
        <w:t xml:space="preserve"> credit course or as an extension of content in Algebra 1, Geometry</w:t>
      </w:r>
      <w:r w:rsidR="0087001D">
        <w:rPr>
          <w:rFonts w:asciiTheme="minorHAnsi" w:hAnsiTheme="minorHAnsi" w:cstheme="minorHAnsi"/>
        </w:rPr>
        <w:t>,</w:t>
      </w:r>
      <w:r>
        <w:rPr>
          <w:rFonts w:asciiTheme="minorHAnsi" w:hAnsiTheme="minorHAnsi" w:cstheme="minorHAnsi"/>
        </w:rPr>
        <w:t xml:space="preserve"> or Algebra 2 course content.</w:t>
      </w:r>
    </w:p>
    <w:bookmarkEnd w:id="1"/>
    <w:p w14:paraId="75B8C479" w14:textId="77777777" w:rsidR="001E40C5" w:rsidRDefault="001E40C5" w:rsidP="001E40C5">
      <w:pPr>
        <w:shd w:val="clear" w:color="auto" w:fill="F7F7F7"/>
        <w:rPr>
          <w:rFonts w:asciiTheme="minorHAnsi" w:hAnsiTheme="minorHAnsi"/>
          <w:b/>
          <w:sz w:val="28"/>
          <w:szCs w:val="28"/>
        </w:rPr>
      </w:pPr>
      <w:r>
        <w:rPr>
          <w:rFonts w:asciiTheme="minorHAnsi" w:hAnsiTheme="minorHAnsi"/>
          <w:b/>
          <w:sz w:val="28"/>
          <w:szCs w:val="28"/>
        </w:rPr>
        <w:lastRenderedPageBreak/>
        <w:t>Introduction</w:t>
      </w:r>
    </w:p>
    <w:p w14:paraId="4C565BDA" w14:textId="77777777" w:rsidR="001E40C5" w:rsidRDefault="001E40C5" w:rsidP="00227E22">
      <w:pPr>
        <w:spacing w:after="240"/>
        <w:rPr>
          <w:rFonts w:asciiTheme="minorHAnsi" w:hAnsiTheme="minorHAnsi" w:cstheme="minorHAnsi"/>
        </w:rPr>
      </w:pPr>
    </w:p>
    <w:p w14:paraId="280EAAD0" w14:textId="50C9D561" w:rsidR="008B2223" w:rsidRPr="001D7BFD" w:rsidRDefault="008B2223" w:rsidP="008B2223">
      <w:pPr>
        <w:rPr>
          <w:rFonts w:asciiTheme="minorHAnsi" w:hAnsiTheme="minorHAnsi" w:cstheme="minorHAnsi"/>
        </w:rPr>
      </w:pPr>
      <w:bookmarkStart w:id="2" w:name="_Hlk511895784"/>
      <w:r w:rsidRPr="001D7BFD">
        <w:rPr>
          <w:rFonts w:asciiTheme="minorHAnsi" w:hAnsiTheme="minorHAnsi" w:cstheme="minorHAnsi"/>
        </w:rPr>
        <w:t xml:space="preserve">Arizona places a high value </w:t>
      </w:r>
      <w:r w:rsidR="00E65548">
        <w:rPr>
          <w:rFonts w:asciiTheme="minorHAnsi" w:hAnsiTheme="minorHAnsi" w:cstheme="minorHAnsi"/>
        </w:rPr>
        <w:t>on a rigorous four</w:t>
      </w:r>
      <w:r w:rsidR="0087001D">
        <w:rPr>
          <w:rFonts w:asciiTheme="minorHAnsi" w:hAnsiTheme="minorHAnsi" w:cstheme="minorHAnsi"/>
        </w:rPr>
        <w:t xml:space="preserve"> </w:t>
      </w:r>
      <w:r w:rsidRPr="001D7BFD">
        <w:rPr>
          <w:rFonts w:asciiTheme="minorHAnsi" w:hAnsiTheme="minorHAnsi" w:cstheme="minorHAnsi"/>
        </w:rPr>
        <w:t>credit mathematics pathway in high school as it provides a solid foundation for a post-secondary education or career pathway.  We believe that four years of high-quality instruction around significant mathematics will prepare students to leave high school with quantitative literacy and critical thinking processes that will lead to sound decision-making in their personal lives, and enable them to become active, engaged citizens who are able to determine the truth and validity of reasoning and claims used in scientific, economic, social, and political arenas.  A four-year mathematics pathway will also help students see themselves as capable mathematic</w:t>
      </w:r>
      <w:r w:rsidR="00E65548">
        <w:rPr>
          <w:rFonts w:asciiTheme="minorHAnsi" w:hAnsiTheme="minorHAnsi" w:cstheme="minorHAnsi"/>
        </w:rPr>
        <w:t>al</w:t>
      </w:r>
      <w:r w:rsidRPr="001D7BFD">
        <w:rPr>
          <w:rFonts w:asciiTheme="minorHAnsi" w:hAnsiTheme="minorHAnsi" w:cstheme="minorHAnsi"/>
        </w:rPr>
        <w:t xml:space="preserve"> and statistical practitioners, and help them appreciate the beauty, complexity, and practicality of mathematics and statistics.  </w:t>
      </w:r>
    </w:p>
    <w:p w14:paraId="55BBC7A0" w14:textId="77777777" w:rsidR="001D7BFD" w:rsidRDefault="001D7BFD" w:rsidP="008B2223">
      <w:pPr>
        <w:rPr>
          <w:rFonts w:asciiTheme="minorHAnsi" w:hAnsiTheme="minorHAnsi" w:cstheme="minorHAnsi"/>
        </w:rPr>
      </w:pPr>
    </w:p>
    <w:p w14:paraId="1FE62BB4" w14:textId="77777777" w:rsidR="008B2223" w:rsidRPr="001D7BFD" w:rsidRDefault="008B2223" w:rsidP="008B2223">
      <w:pPr>
        <w:rPr>
          <w:rFonts w:asciiTheme="minorHAnsi" w:hAnsiTheme="minorHAnsi" w:cstheme="minorHAnsi"/>
        </w:rPr>
      </w:pPr>
      <w:r w:rsidRPr="001D7BFD">
        <w:rPr>
          <w:rFonts w:asciiTheme="minorHAnsi" w:hAnsiTheme="minorHAnsi" w:cstheme="minorHAnsi"/>
        </w:rPr>
        <w:t xml:space="preserve">According to the National Mathematics Advisory Panel, success in mathematics education is important to individual citizens because it leads to more options in college and career pathways, </w:t>
      </w:r>
      <w:r w:rsidR="00E65548">
        <w:rPr>
          <w:rFonts w:asciiTheme="minorHAnsi" w:hAnsiTheme="minorHAnsi" w:cstheme="minorHAnsi"/>
        </w:rPr>
        <w:t>as well as incr</w:t>
      </w:r>
      <w:r w:rsidR="00C96700">
        <w:rPr>
          <w:rFonts w:asciiTheme="minorHAnsi" w:hAnsiTheme="minorHAnsi" w:cstheme="minorHAnsi"/>
        </w:rPr>
        <w:t>easing</w:t>
      </w:r>
      <w:r w:rsidRPr="001D7BFD">
        <w:rPr>
          <w:rFonts w:asciiTheme="minorHAnsi" w:hAnsiTheme="minorHAnsi" w:cstheme="minorHAnsi"/>
        </w:rPr>
        <w:t xml:space="preserve"> the prospects of a higher income.  Horn &amp; Nunez (2000) and Horowitz (2005) both found that the probability of a student’s enrollment in a four-year college is correlated to the completion of high school mathematics programs beyond Algebra 2.  </w:t>
      </w:r>
    </w:p>
    <w:p w14:paraId="5C27656A" w14:textId="77777777" w:rsidR="001D7BFD" w:rsidRDefault="001D7BFD" w:rsidP="008B2223">
      <w:pPr>
        <w:rPr>
          <w:rFonts w:asciiTheme="minorHAnsi" w:hAnsiTheme="minorHAnsi" w:cstheme="minorHAnsi"/>
        </w:rPr>
      </w:pPr>
    </w:p>
    <w:p w14:paraId="6E6A8938" w14:textId="23F7B6C2" w:rsidR="008B2223" w:rsidRPr="001D7BFD" w:rsidRDefault="008B2223" w:rsidP="008B2223">
      <w:pPr>
        <w:rPr>
          <w:rFonts w:asciiTheme="minorHAnsi" w:hAnsiTheme="minorHAnsi" w:cstheme="minorHAnsi"/>
        </w:rPr>
      </w:pPr>
      <w:r w:rsidRPr="001D7BFD">
        <w:rPr>
          <w:rFonts w:asciiTheme="minorHAnsi" w:hAnsiTheme="minorHAnsi" w:cstheme="minorHAnsi"/>
        </w:rPr>
        <w:t>As the U.S. population continues to become more diverse, we must make sure that educational opportunities mirror the diversity of the broader population (National Research Council</w:t>
      </w:r>
      <w:r w:rsidR="0087001D">
        <w:rPr>
          <w:rFonts w:asciiTheme="minorHAnsi" w:hAnsiTheme="minorHAnsi" w:cstheme="minorHAnsi"/>
        </w:rPr>
        <w:t>, 2002).  The variety of fourth-</w:t>
      </w:r>
      <w:r w:rsidRPr="001D7BFD">
        <w:rPr>
          <w:rFonts w:asciiTheme="minorHAnsi" w:hAnsiTheme="minorHAnsi" w:cstheme="minorHAnsi"/>
        </w:rPr>
        <w:t xml:space="preserve">year credit courses in mathematics available to students will not only prepare them for post-secondary life but will honor the </w:t>
      </w:r>
      <w:r w:rsidR="00B00451">
        <w:rPr>
          <w:rFonts w:asciiTheme="minorHAnsi" w:hAnsiTheme="minorHAnsi" w:cstheme="minorHAnsi"/>
        </w:rPr>
        <w:t xml:space="preserve">needs of a diverse population. </w:t>
      </w:r>
      <w:r w:rsidRPr="001D7BFD">
        <w:rPr>
          <w:rFonts w:asciiTheme="minorHAnsi" w:hAnsiTheme="minorHAnsi" w:cstheme="minorHAnsi"/>
        </w:rPr>
        <w:t xml:space="preserve">Ma and Wilkins (2007) highlight the crucial role mathematics educators play as we explore and expand the ways we can use mathematics coursework to improve student achievement and confidence.  Diverse mathematics courses must be made available and accessible as one of the pathways that leads to student success. </w:t>
      </w:r>
    </w:p>
    <w:p w14:paraId="081F10E6" w14:textId="77777777" w:rsidR="001D7BFD" w:rsidRDefault="001D7BFD" w:rsidP="008B2223">
      <w:pPr>
        <w:rPr>
          <w:rFonts w:asciiTheme="minorHAnsi" w:hAnsiTheme="minorHAnsi" w:cstheme="minorHAnsi"/>
        </w:rPr>
      </w:pPr>
    </w:p>
    <w:p w14:paraId="2AD7FC3B" w14:textId="1FB8793B" w:rsidR="008B2223" w:rsidRPr="001D7BFD" w:rsidRDefault="008B2223" w:rsidP="008B2223">
      <w:pPr>
        <w:rPr>
          <w:rFonts w:asciiTheme="minorHAnsi" w:hAnsiTheme="minorHAnsi" w:cstheme="minorHAnsi"/>
        </w:rPr>
      </w:pPr>
      <w:r w:rsidRPr="001D7BFD">
        <w:rPr>
          <w:rFonts w:asciiTheme="minorHAnsi" w:hAnsiTheme="minorHAnsi" w:cstheme="minorHAnsi"/>
        </w:rPr>
        <w:t xml:space="preserve">To assist in providing guidance in the development of fourth-year mathematics content and options, the </w:t>
      </w:r>
      <w:r w:rsidR="00C96700">
        <w:rPr>
          <w:rFonts w:asciiTheme="minorHAnsi" w:hAnsiTheme="minorHAnsi" w:cstheme="minorHAnsi"/>
        </w:rPr>
        <w:t>Arizona Department of Education created and facilitated an Advanced Mathematics Committee</w:t>
      </w:r>
      <w:r w:rsidR="004426A1">
        <w:rPr>
          <w:rFonts w:asciiTheme="minorHAnsi" w:hAnsiTheme="minorHAnsi" w:cstheme="minorHAnsi"/>
        </w:rPr>
        <w:t xml:space="preserve"> (AMC)</w:t>
      </w:r>
      <w:r w:rsidR="00C96700">
        <w:rPr>
          <w:rFonts w:asciiTheme="minorHAnsi" w:hAnsiTheme="minorHAnsi" w:cstheme="minorHAnsi"/>
        </w:rPr>
        <w:t xml:space="preserve">.  Committee members were chosen from self-completed applications for inclusion in the committee.  Members included </w:t>
      </w:r>
      <w:r w:rsidR="00C96700" w:rsidRPr="001D7BFD">
        <w:rPr>
          <w:rFonts w:asciiTheme="minorHAnsi" w:hAnsiTheme="minorHAnsi" w:cstheme="minorHAnsi"/>
        </w:rPr>
        <w:t>professors</w:t>
      </w:r>
      <w:r w:rsidR="00C96700">
        <w:rPr>
          <w:rFonts w:asciiTheme="minorHAnsi" w:hAnsiTheme="minorHAnsi" w:cstheme="minorHAnsi"/>
        </w:rPr>
        <w:t xml:space="preserve"> and instructors of institutes of higher education,</w:t>
      </w:r>
      <w:r w:rsidRPr="001D7BFD">
        <w:rPr>
          <w:rFonts w:asciiTheme="minorHAnsi" w:hAnsiTheme="minorHAnsi" w:cstheme="minorHAnsi"/>
        </w:rPr>
        <w:t xml:space="preserve"> high school math teachers, and school district mathematic </w:t>
      </w:r>
      <w:r w:rsidR="00C96700">
        <w:rPr>
          <w:rFonts w:asciiTheme="minorHAnsi" w:hAnsiTheme="minorHAnsi" w:cstheme="minorHAnsi"/>
        </w:rPr>
        <w:t>coaches and specialists</w:t>
      </w:r>
      <w:r w:rsidRPr="001D7BFD">
        <w:rPr>
          <w:rFonts w:asciiTheme="minorHAnsi" w:hAnsiTheme="minorHAnsi" w:cstheme="minorHAnsi"/>
        </w:rPr>
        <w:t>.  This group of Arizona educators provided expert content knowledge and knowledge of research in mathematics education</w:t>
      </w:r>
      <w:r w:rsidR="00C96700">
        <w:rPr>
          <w:rFonts w:asciiTheme="minorHAnsi" w:hAnsiTheme="minorHAnsi" w:cstheme="minorHAnsi"/>
        </w:rPr>
        <w:t xml:space="preserve"> essential skills needed for </w:t>
      </w:r>
      <w:r w:rsidRPr="001D7BFD">
        <w:rPr>
          <w:rFonts w:asciiTheme="minorHAnsi" w:hAnsiTheme="minorHAnsi" w:cstheme="minorHAnsi"/>
        </w:rPr>
        <w:t>the critical work of developing rigorous, relevant, and varied mathematic</w:t>
      </w:r>
      <w:r w:rsidR="00C96700">
        <w:rPr>
          <w:rFonts w:asciiTheme="minorHAnsi" w:hAnsiTheme="minorHAnsi" w:cstheme="minorHAnsi"/>
        </w:rPr>
        <w:t>s</w:t>
      </w:r>
      <w:r w:rsidRPr="001D7BFD">
        <w:rPr>
          <w:rFonts w:asciiTheme="minorHAnsi" w:hAnsiTheme="minorHAnsi" w:cstheme="minorHAnsi"/>
        </w:rPr>
        <w:t xml:space="preserve"> course options for Arizona students. </w:t>
      </w:r>
    </w:p>
    <w:p w14:paraId="3AF43182" w14:textId="77777777" w:rsidR="001D7BFD" w:rsidRDefault="001D7BFD" w:rsidP="008B2223">
      <w:pPr>
        <w:rPr>
          <w:rFonts w:asciiTheme="minorHAnsi" w:hAnsiTheme="minorHAnsi" w:cstheme="minorHAnsi"/>
        </w:rPr>
      </w:pPr>
    </w:p>
    <w:p w14:paraId="451C2C68" w14:textId="48B694AF" w:rsidR="008B2223" w:rsidRPr="001D7BFD" w:rsidRDefault="008B2223" w:rsidP="008B2223">
      <w:pPr>
        <w:rPr>
          <w:rFonts w:asciiTheme="minorHAnsi" w:hAnsiTheme="minorHAnsi" w:cstheme="minorHAnsi"/>
        </w:rPr>
      </w:pPr>
      <w:r w:rsidRPr="001D7BFD">
        <w:rPr>
          <w:rFonts w:asciiTheme="minorHAnsi" w:hAnsiTheme="minorHAnsi" w:cstheme="minorHAnsi"/>
        </w:rPr>
        <w:lastRenderedPageBreak/>
        <w:t xml:space="preserve">According to the NCTM Standards (2000), mathematical power is achieved by students who can confidently engage in complex mathematical tasks, effectively draw on knowledge from a wide variety of mathematical topics and concepts, productively approach problems from differing perspectives, flexibly and resourcefully solve problems in a productive and reflective manner, capably and effectively communicate their ideas and results, and clearly see the value of mathematics as a vital tool to approach and solve a variety of issues.  Instead of </w:t>
      </w:r>
      <w:r w:rsidR="00C96700">
        <w:rPr>
          <w:rFonts w:asciiTheme="minorHAnsi" w:hAnsiTheme="minorHAnsi" w:cstheme="minorHAnsi"/>
        </w:rPr>
        <w:t xml:space="preserve">primarily </w:t>
      </w:r>
      <w:r w:rsidRPr="001D7BFD">
        <w:rPr>
          <w:rFonts w:asciiTheme="minorHAnsi" w:hAnsiTheme="minorHAnsi" w:cstheme="minorHAnsi"/>
        </w:rPr>
        <w:t xml:space="preserve">focusing on the memorization of procedures and formulas and the repetition of exercises, </w:t>
      </w:r>
      <w:r w:rsidR="004426A1">
        <w:rPr>
          <w:rFonts w:asciiTheme="minorHAnsi" w:hAnsiTheme="minorHAnsi" w:cstheme="minorHAnsi"/>
        </w:rPr>
        <w:t>t</w:t>
      </w:r>
      <w:r w:rsidRPr="001D7BFD">
        <w:rPr>
          <w:rFonts w:asciiTheme="minorHAnsi" w:hAnsiTheme="minorHAnsi" w:cstheme="minorHAnsi"/>
        </w:rPr>
        <w:t xml:space="preserve">he National Research Council (1989) calls on us to bring these critical thinking skills to </w:t>
      </w:r>
      <w:r w:rsidR="00C96700">
        <w:rPr>
          <w:rFonts w:asciiTheme="minorHAnsi" w:hAnsiTheme="minorHAnsi" w:cstheme="minorHAnsi"/>
        </w:rPr>
        <w:t xml:space="preserve">the </w:t>
      </w:r>
      <w:r w:rsidRPr="001D7BFD">
        <w:rPr>
          <w:rFonts w:asciiTheme="minorHAnsi" w:hAnsiTheme="minorHAnsi" w:cstheme="minorHAnsi"/>
        </w:rPr>
        <w:t xml:space="preserve">forefront of mathematics education, and the development and implementation of a variety of fourth-year options in significant mathematics can help us achieve that goal.  </w:t>
      </w:r>
      <w:r w:rsidR="00515B0E">
        <w:rPr>
          <w:rFonts w:asciiTheme="minorHAnsi" w:hAnsiTheme="minorHAnsi" w:cstheme="minorHAnsi"/>
        </w:rPr>
        <w:t xml:space="preserve">According to the NCTM </w:t>
      </w:r>
      <w:r w:rsidR="00C96700">
        <w:rPr>
          <w:rFonts w:asciiTheme="minorHAnsi" w:hAnsiTheme="minorHAnsi" w:cstheme="minorHAnsi"/>
        </w:rPr>
        <w:t xml:space="preserve">publication, </w:t>
      </w:r>
      <w:r w:rsidR="00C96700" w:rsidRPr="008C2BCE">
        <w:rPr>
          <w:rFonts w:asciiTheme="minorHAnsi" w:hAnsiTheme="minorHAnsi" w:cstheme="minorHAnsi"/>
          <w:i/>
        </w:rPr>
        <w:t>Catalyzing Change in H</w:t>
      </w:r>
      <w:r w:rsidR="00515B0E" w:rsidRPr="008C2BCE">
        <w:rPr>
          <w:rFonts w:asciiTheme="minorHAnsi" w:hAnsiTheme="minorHAnsi" w:cstheme="minorHAnsi"/>
          <w:i/>
        </w:rPr>
        <w:t>igh School Mathematics</w:t>
      </w:r>
      <w:r w:rsidR="00515B0E">
        <w:rPr>
          <w:rFonts w:asciiTheme="minorHAnsi" w:hAnsiTheme="minorHAnsi" w:cstheme="minorHAnsi"/>
        </w:rPr>
        <w:t xml:space="preserve"> (2018), t</w:t>
      </w:r>
      <w:r w:rsidR="00C96700">
        <w:rPr>
          <w:rFonts w:asciiTheme="minorHAnsi" w:hAnsiTheme="minorHAnsi" w:cstheme="minorHAnsi"/>
        </w:rPr>
        <w:t>o maximize students’ opportunities after high school and prepare them to actively engage in democratic society, high schools should ensure that all students enroll in a mathematics course every year in high school and complete four years of high school mathematics including a mathematics or statistics course during th</w:t>
      </w:r>
      <w:r w:rsidR="00515B0E">
        <w:rPr>
          <w:rFonts w:asciiTheme="minorHAnsi" w:hAnsiTheme="minorHAnsi" w:cstheme="minorHAnsi"/>
        </w:rPr>
        <w:t>eir last year of high school.</w:t>
      </w:r>
    </w:p>
    <w:p w14:paraId="6D4FD72D" w14:textId="77777777" w:rsidR="004A7F45" w:rsidRDefault="004A7F45" w:rsidP="008B2223">
      <w:pPr>
        <w:spacing w:after="240"/>
        <w:rPr>
          <w:rFonts w:asciiTheme="minorHAnsi" w:hAnsiTheme="minorHAnsi" w:cstheme="minorHAnsi"/>
        </w:rPr>
      </w:pPr>
    </w:p>
    <w:p w14:paraId="0FB5EE23" w14:textId="7E17ACDF" w:rsidR="008B2223" w:rsidRPr="001D7BFD" w:rsidRDefault="008B2223" w:rsidP="008B2223">
      <w:pPr>
        <w:spacing w:after="240"/>
        <w:rPr>
          <w:rFonts w:asciiTheme="minorHAnsi" w:hAnsiTheme="minorHAnsi" w:cstheme="minorHAnsi"/>
        </w:rPr>
      </w:pPr>
      <w:r w:rsidRPr="001D7BFD">
        <w:rPr>
          <w:rFonts w:asciiTheme="minorHAnsi" w:hAnsiTheme="minorHAnsi" w:cstheme="minorHAnsi"/>
        </w:rPr>
        <w:t>In this docum</w:t>
      </w:r>
      <w:r w:rsidR="00C96700">
        <w:rPr>
          <w:rFonts w:asciiTheme="minorHAnsi" w:hAnsiTheme="minorHAnsi" w:cstheme="minorHAnsi"/>
        </w:rPr>
        <w:t>ent t</w:t>
      </w:r>
      <w:r w:rsidR="0087001D">
        <w:rPr>
          <w:rFonts w:asciiTheme="minorHAnsi" w:hAnsiTheme="minorHAnsi" w:cstheme="minorHAnsi"/>
        </w:rPr>
        <w:t>here are suggestions for fourth-</w:t>
      </w:r>
      <w:r w:rsidRPr="001D7BFD">
        <w:rPr>
          <w:rFonts w:asciiTheme="minorHAnsi" w:hAnsiTheme="minorHAnsi" w:cstheme="minorHAnsi"/>
        </w:rPr>
        <w:t>credit courses that have standards with significant mathematics. This is by no means an all-encompassing list. However, this document may help local districts to address the needs for diverse populations of students to be successful in fourth credit course</w:t>
      </w:r>
      <w:r w:rsidR="00C96700">
        <w:rPr>
          <w:rFonts w:asciiTheme="minorHAnsi" w:hAnsiTheme="minorHAnsi" w:cstheme="minorHAnsi"/>
        </w:rPr>
        <w:t>s that are both meaningful and mathematically significant.</w:t>
      </w:r>
      <w:r w:rsidRPr="001D7BFD">
        <w:rPr>
          <w:rFonts w:asciiTheme="minorHAnsi" w:hAnsiTheme="minorHAnsi" w:cstheme="minorHAnsi"/>
        </w:rPr>
        <w:t xml:space="preserve"> With full implementation of the 2016 Arizona Mathematics Standards and exten</w:t>
      </w:r>
      <w:r w:rsidR="00C96700">
        <w:rPr>
          <w:rFonts w:asciiTheme="minorHAnsi" w:hAnsiTheme="minorHAnsi" w:cstheme="minorHAnsi"/>
        </w:rPr>
        <w:t>ded op</w:t>
      </w:r>
      <w:r w:rsidR="0087001D">
        <w:rPr>
          <w:rFonts w:asciiTheme="minorHAnsi" w:hAnsiTheme="minorHAnsi" w:cstheme="minorHAnsi"/>
        </w:rPr>
        <w:t>portunities for rigorous fourth-</w:t>
      </w:r>
      <w:r w:rsidRPr="001D7BFD">
        <w:rPr>
          <w:rFonts w:asciiTheme="minorHAnsi" w:hAnsiTheme="minorHAnsi" w:cstheme="minorHAnsi"/>
        </w:rPr>
        <w:t xml:space="preserve">credit math </w:t>
      </w:r>
      <w:r w:rsidR="00C96700">
        <w:rPr>
          <w:rFonts w:asciiTheme="minorHAnsi" w:hAnsiTheme="minorHAnsi" w:cstheme="minorHAnsi"/>
        </w:rPr>
        <w:t>courses, “pockets of excellence will change to systemic excellent</w:t>
      </w:r>
      <w:r w:rsidRPr="001D7BFD">
        <w:rPr>
          <w:rFonts w:asciiTheme="minorHAnsi" w:hAnsiTheme="minorHAnsi" w:cstheme="minorHAnsi"/>
        </w:rPr>
        <w:t xml:space="preserve"> by providing mathematics education that supports the learning of all student</w:t>
      </w:r>
      <w:r w:rsidR="00C96700">
        <w:rPr>
          <w:rFonts w:asciiTheme="minorHAnsi" w:hAnsiTheme="minorHAnsi" w:cstheme="minorHAnsi"/>
        </w:rPr>
        <w:t>s at the highest possible level” (</w:t>
      </w:r>
      <w:r w:rsidR="00B21D9B">
        <w:rPr>
          <w:rFonts w:asciiTheme="minorHAnsi" w:hAnsiTheme="minorHAnsi" w:cstheme="minorHAnsi"/>
        </w:rPr>
        <w:t>2014</w:t>
      </w:r>
      <w:r w:rsidR="00C96700">
        <w:rPr>
          <w:rFonts w:asciiTheme="minorHAnsi" w:hAnsiTheme="minorHAnsi" w:cstheme="minorHAnsi"/>
        </w:rPr>
        <w:t xml:space="preserve">). </w:t>
      </w:r>
    </w:p>
    <w:p w14:paraId="517D69EA" w14:textId="390F32B3" w:rsidR="008B2223" w:rsidRPr="001D7BFD" w:rsidRDefault="008B2223" w:rsidP="008B2223">
      <w:pPr>
        <w:spacing w:after="240"/>
        <w:rPr>
          <w:rFonts w:asciiTheme="minorHAnsi" w:hAnsiTheme="minorHAnsi" w:cstheme="minorHAnsi"/>
        </w:rPr>
      </w:pPr>
      <w:r w:rsidRPr="001D7BFD">
        <w:rPr>
          <w:rFonts w:asciiTheme="minorHAnsi" w:hAnsiTheme="minorHAnsi" w:cstheme="minorHAnsi"/>
        </w:rPr>
        <w:t xml:space="preserve">The </w:t>
      </w:r>
      <w:r w:rsidR="00C96700">
        <w:rPr>
          <w:rFonts w:asciiTheme="minorHAnsi" w:hAnsiTheme="minorHAnsi" w:cstheme="minorHAnsi"/>
        </w:rPr>
        <w:t>pro</w:t>
      </w:r>
      <w:r w:rsidR="0087001D">
        <w:rPr>
          <w:rFonts w:asciiTheme="minorHAnsi" w:hAnsiTheme="minorHAnsi" w:cstheme="minorHAnsi"/>
        </w:rPr>
        <w:t>vided guidance regarding fourth-</w:t>
      </w:r>
      <w:r w:rsidRPr="001D7BFD">
        <w:rPr>
          <w:rFonts w:asciiTheme="minorHAnsi" w:hAnsiTheme="minorHAnsi" w:cstheme="minorHAnsi"/>
        </w:rPr>
        <w:t xml:space="preserve">credit math courses will assist LEA’S </w:t>
      </w:r>
      <w:r w:rsidR="00C96700">
        <w:rPr>
          <w:rFonts w:asciiTheme="minorHAnsi" w:hAnsiTheme="minorHAnsi" w:cstheme="minorHAnsi"/>
        </w:rPr>
        <w:t>in providing</w:t>
      </w:r>
      <w:r w:rsidRPr="001D7BFD">
        <w:rPr>
          <w:rFonts w:asciiTheme="minorHAnsi" w:hAnsiTheme="minorHAnsi" w:cstheme="minorHAnsi"/>
        </w:rPr>
        <w:t xml:space="preserve"> access and equity to </w:t>
      </w:r>
      <w:r w:rsidR="00C96700">
        <w:rPr>
          <w:rFonts w:asciiTheme="minorHAnsi" w:hAnsiTheme="minorHAnsi" w:cstheme="minorHAnsi"/>
        </w:rPr>
        <w:t xml:space="preserve">support </w:t>
      </w:r>
      <w:r w:rsidRPr="001D7BFD">
        <w:rPr>
          <w:rFonts w:asciiTheme="minorHAnsi" w:hAnsiTheme="minorHAnsi" w:cstheme="minorHAnsi"/>
        </w:rPr>
        <w:t>mathematics programs</w:t>
      </w:r>
      <w:r w:rsidR="00C96700">
        <w:rPr>
          <w:rFonts w:asciiTheme="minorHAnsi" w:hAnsiTheme="minorHAnsi" w:cstheme="minorHAnsi"/>
        </w:rPr>
        <w:t>.  Such programs promote that ideal</w:t>
      </w:r>
      <w:r w:rsidRPr="001D7BFD">
        <w:rPr>
          <w:rFonts w:asciiTheme="minorHAnsi" w:hAnsiTheme="minorHAnsi" w:cstheme="minorHAnsi"/>
        </w:rPr>
        <w:t xml:space="preserve"> </w:t>
      </w:r>
      <w:r w:rsidR="00C96700">
        <w:rPr>
          <w:rFonts w:asciiTheme="minorHAnsi" w:hAnsiTheme="minorHAnsi" w:cstheme="minorHAnsi"/>
        </w:rPr>
        <w:t>that</w:t>
      </w:r>
      <w:r w:rsidRPr="001D7BFD">
        <w:rPr>
          <w:rFonts w:asciiTheme="minorHAnsi" w:hAnsiTheme="minorHAnsi" w:cstheme="minorHAnsi"/>
        </w:rPr>
        <w:t xml:space="preserve"> all students have </w:t>
      </w:r>
      <w:r w:rsidR="00C96700">
        <w:rPr>
          <w:rFonts w:asciiTheme="minorHAnsi" w:hAnsiTheme="minorHAnsi" w:cstheme="minorHAnsi"/>
        </w:rPr>
        <w:t xml:space="preserve">access to </w:t>
      </w:r>
      <w:r w:rsidRPr="001D7BFD">
        <w:rPr>
          <w:rFonts w:asciiTheme="minorHAnsi" w:hAnsiTheme="minorHAnsi" w:cstheme="minorHAnsi"/>
        </w:rPr>
        <w:t>a high-quality mathematics curriculum</w:t>
      </w:r>
      <w:r w:rsidR="00C96700">
        <w:rPr>
          <w:rFonts w:asciiTheme="minorHAnsi" w:hAnsiTheme="minorHAnsi" w:cstheme="minorHAnsi"/>
        </w:rPr>
        <w:t xml:space="preserve"> that supports</w:t>
      </w:r>
      <w:r w:rsidRPr="001D7BFD">
        <w:rPr>
          <w:rFonts w:asciiTheme="minorHAnsi" w:hAnsiTheme="minorHAnsi" w:cstheme="minorHAnsi"/>
        </w:rPr>
        <w:t xml:space="preserve"> effective teaching and learning</w:t>
      </w:r>
      <w:r w:rsidR="00C96700">
        <w:rPr>
          <w:rFonts w:asciiTheme="minorHAnsi" w:hAnsiTheme="minorHAnsi" w:cstheme="minorHAnsi"/>
        </w:rPr>
        <w:t xml:space="preserve"> with;</w:t>
      </w:r>
      <w:r w:rsidR="006979E1">
        <w:rPr>
          <w:rFonts w:asciiTheme="minorHAnsi" w:hAnsiTheme="minorHAnsi" w:cstheme="minorHAnsi"/>
        </w:rPr>
        <w:t xml:space="preserve"> high expectations;</w:t>
      </w:r>
      <w:r w:rsidRPr="001D7BFD">
        <w:rPr>
          <w:rFonts w:asciiTheme="minorHAnsi" w:hAnsiTheme="minorHAnsi" w:cstheme="minorHAnsi"/>
        </w:rPr>
        <w:t xml:space="preserve"> and the support and resources needed to maximize </w:t>
      </w:r>
      <w:r w:rsidR="006979E1">
        <w:rPr>
          <w:rFonts w:asciiTheme="minorHAnsi" w:hAnsiTheme="minorHAnsi" w:cstheme="minorHAnsi"/>
        </w:rPr>
        <w:t>students</w:t>
      </w:r>
      <w:r w:rsidRPr="001D7BFD">
        <w:rPr>
          <w:rFonts w:asciiTheme="minorHAnsi" w:hAnsiTheme="minorHAnsi" w:cstheme="minorHAnsi"/>
        </w:rPr>
        <w:t xml:space="preserve"> learning poten</w:t>
      </w:r>
      <w:r w:rsidR="00515B0E">
        <w:rPr>
          <w:rFonts w:asciiTheme="minorHAnsi" w:hAnsiTheme="minorHAnsi" w:cstheme="minorHAnsi"/>
        </w:rPr>
        <w:t>tial (</w:t>
      </w:r>
      <w:r w:rsidR="00B21D9B">
        <w:rPr>
          <w:rFonts w:asciiTheme="minorHAnsi" w:hAnsiTheme="minorHAnsi" w:cstheme="minorHAnsi"/>
        </w:rPr>
        <w:t>2014</w:t>
      </w:r>
      <w:r w:rsidRPr="001D7BFD">
        <w:rPr>
          <w:rFonts w:asciiTheme="minorHAnsi" w:hAnsiTheme="minorHAnsi" w:cstheme="minorHAnsi"/>
        </w:rPr>
        <w:t>).</w:t>
      </w:r>
    </w:p>
    <w:p w14:paraId="53550E7F" w14:textId="77777777" w:rsidR="00552A36" w:rsidRDefault="00552A36" w:rsidP="00890ABC">
      <w:pPr>
        <w:rPr>
          <w:rFonts w:asciiTheme="minorHAnsi" w:hAnsiTheme="minorHAnsi"/>
          <w:sz w:val="22"/>
          <w:szCs w:val="22"/>
        </w:rPr>
      </w:pPr>
    </w:p>
    <w:bookmarkEnd w:id="2"/>
    <w:p w14:paraId="011A0BD6" w14:textId="77777777" w:rsidR="008124B7" w:rsidRDefault="008124B7" w:rsidP="00890ABC">
      <w:pPr>
        <w:rPr>
          <w:rFonts w:asciiTheme="minorHAnsi" w:hAnsiTheme="minorHAnsi"/>
          <w:sz w:val="22"/>
          <w:szCs w:val="22"/>
        </w:rPr>
      </w:pPr>
    </w:p>
    <w:p w14:paraId="5F44C138" w14:textId="77777777" w:rsidR="008124B7" w:rsidRDefault="008124B7" w:rsidP="00890ABC">
      <w:pPr>
        <w:rPr>
          <w:rFonts w:asciiTheme="minorHAnsi" w:hAnsiTheme="minorHAnsi"/>
          <w:sz w:val="22"/>
          <w:szCs w:val="22"/>
        </w:rPr>
      </w:pPr>
    </w:p>
    <w:p w14:paraId="6BB56F30" w14:textId="77777777" w:rsidR="008124B7" w:rsidRDefault="008124B7" w:rsidP="00890ABC">
      <w:pPr>
        <w:rPr>
          <w:rFonts w:asciiTheme="minorHAnsi" w:hAnsiTheme="minorHAnsi"/>
          <w:sz w:val="22"/>
          <w:szCs w:val="22"/>
        </w:rPr>
      </w:pPr>
    </w:p>
    <w:p w14:paraId="2A7774AF" w14:textId="77777777" w:rsidR="008124B7" w:rsidRDefault="008124B7" w:rsidP="00890ABC">
      <w:pPr>
        <w:rPr>
          <w:rFonts w:asciiTheme="minorHAnsi" w:hAnsiTheme="minorHAnsi"/>
          <w:sz w:val="22"/>
          <w:szCs w:val="22"/>
        </w:rPr>
      </w:pPr>
    </w:p>
    <w:p w14:paraId="43C414F2" w14:textId="77777777" w:rsidR="001E40C5" w:rsidRDefault="001E40C5" w:rsidP="00890ABC">
      <w:pPr>
        <w:rPr>
          <w:rFonts w:asciiTheme="minorHAnsi" w:hAnsiTheme="minorHAnsi"/>
          <w:sz w:val="22"/>
          <w:szCs w:val="22"/>
        </w:rPr>
      </w:pPr>
    </w:p>
    <w:p w14:paraId="54646AAB" w14:textId="77777777" w:rsidR="001E40C5" w:rsidRDefault="001E40C5" w:rsidP="00890ABC">
      <w:pPr>
        <w:rPr>
          <w:rFonts w:asciiTheme="minorHAnsi" w:hAnsiTheme="minorHAnsi"/>
          <w:sz w:val="22"/>
          <w:szCs w:val="22"/>
        </w:rPr>
      </w:pPr>
    </w:p>
    <w:p w14:paraId="2B5D0B66" w14:textId="77777777" w:rsidR="001D7BFD" w:rsidRDefault="001D7BFD" w:rsidP="00890ABC">
      <w:pPr>
        <w:rPr>
          <w:rFonts w:asciiTheme="minorHAnsi" w:hAnsiTheme="minorHAnsi"/>
          <w:sz w:val="22"/>
          <w:szCs w:val="22"/>
        </w:rPr>
      </w:pPr>
    </w:p>
    <w:p w14:paraId="2B8B0366" w14:textId="77777777" w:rsidR="00E06FBB" w:rsidRDefault="00D23DF3" w:rsidP="00E06FBB">
      <w:pPr>
        <w:shd w:val="clear" w:color="auto" w:fill="F7F7F7"/>
        <w:rPr>
          <w:rFonts w:asciiTheme="minorHAnsi" w:hAnsiTheme="minorHAnsi"/>
          <w:b/>
          <w:sz w:val="28"/>
          <w:szCs w:val="28"/>
        </w:rPr>
      </w:pPr>
      <w:hyperlink r:id="rId11" w:history="1">
        <w:r w:rsidR="008124B7" w:rsidRPr="001C2613">
          <w:rPr>
            <w:rStyle w:val="Hyperlink"/>
            <w:rFonts w:asciiTheme="minorHAnsi" w:hAnsiTheme="minorHAnsi"/>
            <w:sz w:val="28"/>
            <w:szCs w:val="28"/>
          </w:rPr>
          <w:t>R7-2-302</w:t>
        </w:r>
      </w:hyperlink>
      <w:r w:rsidR="008124B7">
        <w:rPr>
          <w:rFonts w:asciiTheme="minorHAnsi" w:hAnsiTheme="minorHAnsi"/>
          <w:b/>
          <w:sz w:val="28"/>
          <w:szCs w:val="28"/>
        </w:rPr>
        <w:t>.  Minimum Course of Study and Competency Requirements for Graduation from High School</w:t>
      </w:r>
      <w:r w:rsidR="006D003D">
        <w:rPr>
          <w:rFonts w:asciiTheme="minorHAnsi" w:hAnsiTheme="minorHAnsi"/>
          <w:b/>
          <w:sz w:val="28"/>
          <w:szCs w:val="28"/>
        </w:rPr>
        <w:t>- Adopted by the Arizona State Board of Education - January 2018</w:t>
      </w:r>
    </w:p>
    <w:p w14:paraId="0F0E3481" w14:textId="77777777" w:rsidR="006D003D" w:rsidRPr="006D003D" w:rsidRDefault="006D003D" w:rsidP="00E06FBB">
      <w:pPr>
        <w:shd w:val="clear" w:color="auto" w:fill="F7F7F7"/>
        <w:rPr>
          <w:rFonts w:asciiTheme="minorHAnsi" w:hAnsiTheme="minorHAnsi"/>
          <w:i/>
          <w:sz w:val="26"/>
          <w:szCs w:val="26"/>
        </w:rPr>
      </w:pPr>
      <w:r w:rsidRPr="006D003D">
        <w:rPr>
          <w:rFonts w:asciiTheme="minorHAnsi" w:hAnsiTheme="minorHAnsi"/>
          <w:i/>
          <w:sz w:val="26"/>
          <w:szCs w:val="26"/>
        </w:rPr>
        <w:t>Only sections related to math are included in this document</w:t>
      </w:r>
    </w:p>
    <w:p w14:paraId="2F00E12D" w14:textId="77777777" w:rsidR="006D003D" w:rsidRDefault="006D003D" w:rsidP="00E06FBB">
      <w:pPr>
        <w:shd w:val="clear" w:color="auto" w:fill="F7F7F7"/>
        <w:rPr>
          <w:rFonts w:asciiTheme="minorHAnsi" w:hAnsiTheme="minorHAnsi"/>
          <w:b/>
          <w:sz w:val="28"/>
          <w:szCs w:val="28"/>
        </w:rPr>
      </w:pPr>
    </w:p>
    <w:p w14:paraId="4FCB4A8C" w14:textId="77777777" w:rsidR="00F37D04" w:rsidRDefault="00F37D04"/>
    <w:p w14:paraId="44F7B679" w14:textId="77777777" w:rsidR="008124B7" w:rsidRDefault="006D003D" w:rsidP="000A2798">
      <w:pPr>
        <w:autoSpaceDE w:val="0"/>
        <w:autoSpaceDN w:val="0"/>
        <w:adjustRightInd w:val="0"/>
        <w:rPr>
          <w:rFonts w:asciiTheme="minorHAnsi" w:hAnsiTheme="minorHAnsi" w:cstheme="minorHAnsi"/>
        </w:rPr>
      </w:pPr>
      <w:r w:rsidRPr="006D003D">
        <w:rPr>
          <w:rFonts w:asciiTheme="minorHAnsi" w:hAnsiTheme="minorHAnsi" w:cstheme="minorHAnsi"/>
          <w:b/>
        </w:rPr>
        <w:t>1.</w:t>
      </w:r>
      <w:r w:rsidRPr="006D003D">
        <w:rPr>
          <w:rFonts w:asciiTheme="minorHAnsi" w:hAnsiTheme="minorHAnsi" w:cstheme="minorHAnsi"/>
        </w:rPr>
        <w:t xml:space="preserve"> </w:t>
      </w:r>
      <w:r w:rsidR="008124B7" w:rsidRPr="006D003D">
        <w:rPr>
          <w:rFonts w:asciiTheme="minorHAnsi" w:hAnsiTheme="minorHAnsi" w:cstheme="minorHAnsi"/>
        </w:rPr>
        <w:t>Subject area course requirements. The Board establis</w:t>
      </w:r>
      <w:r w:rsidRPr="006D003D">
        <w:rPr>
          <w:rFonts w:asciiTheme="minorHAnsi" w:hAnsiTheme="minorHAnsi" w:cstheme="minorHAnsi"/>
        </w:rPr>
        <w:t xml:space="preserve">hes 22 credits as the minimum </w:t>
      </w:r>
      <w:r w:rsidR="008124B7" w:rsidRPr="006D003D">
        <w:rPr>
          <w:rFonts w:asciiTheme="minorHAnsi" w:hAnsiTheme="minorHAnsi" w:cstheme="minorHAnsi"/>
        </w:rPr>
        <w:t>number of credits necessary for high school graduation. Students shall obt</w:t>
      </w:r>
      <w:r w:rsidRPr="006D003D">
        <w:rPr>
          <w:rFonts w:asciiTheme="minorHAnsi" w:hAnsiTheme="minorHAnsi" w:cstheme="minorHAnsi"/>
        </w:rPr>
        <w:t xml:space="preserve">ain credits for </w:t>
      </w:r>
      <w:r w:rsidR="008124B7" w:rsidRPr="006D003D">
        <w:rPr>
          <w:rFonts w:asciiTheme="minorHAnsi" w:hAnsiTheme="minorHAnsi" w:cstheme="minorHAnsi"/>
        </w:rPr>
        <w:t>required subject areas as specified in subsections (1)(a) throug</w:t>
      </w:r>
      <w:r w:rsidRPr="006D003D">
        <w:rPr>
          <w:rFonts w:asciiTheme="minorHAnsi" w:hAnsiTheme="minorHAnsi" w:cstheme="minorHAnsi"/>
        </w:rPr>
        <w:t xml:space="preserve">h (e) based on completion of </w:t>
      </w:r>
      <w:r w:rsidR="008124B7" w:rsidRPr="006D003D">
        <w:rPr>
          <w:rFonts w:asciiTheme="minorHAnsi" w:hAnsiTheme="minorHAnsi" w:cstheme="minorHAnsi"/>
        </w:rPr>
        <w:t>subject area course requirements or competency requirements. At</w:t>
      </w:r>
      <w:r w:rsidRPr="006D003D">
        <w:rPr>
          <w:rFonts w:asciiTheme="minorHAnsi" w:hAnsiTheme="minorHAnsi" w:cstheme="minorHAnsi"/>
        </w:rPr>
        <w:t xml:space="preserve"> the discretion of the local </w:t>
      </w:r>
      <w:r w:rsidR="008124B7" w:rsidRPr="006D003D">
        <w:rPr>
          <w:rFonts w:asciiTheme="minorHAnsi" w:hAnsiTheme="minorHAnsi" w:cstheme="minorHAnsi"/>
        </w:rPr>
        <w:t xml:space="preserve">school district governing board or charter school, credits may </w:t>
      </w:r>
      <w:r w:rsidRPr="006D003D">
        <w:rPr>
          <w:rFonts w:asciiTheme="minorHAnsi" w:hAnsiTheme="minorHAnsi" w:cstheme="minorHAnsi"/>
        </w:rPr>
        <w:t xml:space="preserve">be awarded for completion of </w:t>
      </w:r>
      <w:r w:rsidR="008124B7" w:rsidRPr="006D003D">
        <w:rPr>
          <w:rFonts w:asciiTheme="minorHAnsi" w:hAnsiTheme="minorHAnsi" w:cstheme="minorHAnsi"/>
        </w:rPr>
        <w:t>elective subjects specified in subsection (1)(f) based on compl</w:t>
      </w:r>
      <w:r w:rsidRPr="006D003D">
        <w:rPr>
          <w:rFonts w:asciiTheme="minorHAnsi" w:hAnsiTheme="minorHAnsi" w:cstheme="minorHAnsi"/>
        </w:rPr>
        <w:t xml:space="preserve">etion of subject area course </w:t>
      </w:r>
      <w:r w:rsidR="008124B7" w:rsidRPr="006D003D">
        <w:rPr>
          <w:rFonts w:asciiTheme="minorHAnsi" w:hAnsiTheme="minorHAnsi" w:cstheme="minorHAnsi"/>
        </w:rPr>
        <w:t>requirements or competency requirements. The awarding of a cre</w:t>
      </w:r>
      <w:r w:rsidRPr="006D003D">
        <w:rPr>
          <w:rFonts w:asciiTheme="minorHAnsi" w:hAnsiTheme="minorHAnsi" w:cstheme="minorHAnsi"/>
        </w:rPr>
        <w:t xml:space="preserve">dit toward the completion of </w:t>
      </w:r>
      <w:r w:rsidR="008124B7" w:rsidRPr="006D003D">
        <w:rPr>
          <w:rFonts w:asciiTheme="minorHAnsi" w:hAnsiTheme="minorHAnsi" w:cstheme="minorHAnsi"/>
        </w:rPr>
        <w:t>high school graduation requirements shall be based on successful co</w:t>
      </w:r>
      <w:r w:rsidRPr="006D003D">
        <w:rPr>
          <w:rFonts w:asciiTheme="minorHAnsi" w:hAnsiTheme="minorHAnsi" w:cstheme="minorHAnsi"/>
        </w:rPr>
        <w:t xml:space="preserve">mpletion of the subject area </w:t>
      </w:r>
      <w:r w:rsidR="008124B7" w:rsidRPr="006D003D">
        <w:rPr>
          <w:rFonts w:asciiTheme="minorHAnsi" w:hAnsiTheme="minorHAnsi" w:cstheme="minorHAnsi"/>
        </w:rPr>
        <w:t>requirements prescribed by the State Board and local school distric</w:t>
      </w:r>
      <w:r w:rsidRPr="006D003D">
        <w:rPr>
          <w:rFonts w:asciiTheme="minorHAnsi" w:hAnsiTheme="minorHAnsi" w:cstheme="minorHAnsi"/>
        </w:rPr>
        <w:t xml:space="preserve">t governing board or charter </w:t>
      </w:r>
      <w:r w:rsidR="008124B7" w:rsidRPr="006D003D">
        <w:rPr>
          <w:rFonts w:asciiTheme="minorHAnsi" w:hAnsiTheme="minorHAnsi" w:cstheme="minorHAnsi"/>
        </w:rPr>
        <w:t>school as</w:t>
      </w:r>
      <w:r w:rsidRPr="006D003D">
        <w:rPr>
          <w:rFonts w:asciiTheme="minorHAnsi" w:hAnsiTheme="minorHAnsi" w:cstheme="minorHAnsi"/>
        </w:rPr>
        <w:t xml:space="preserve"> </w:t>
      </w:r>
      <w:r w:rsidR="008124B7" w:rsidRPr="006D003D">
        <w:rPr>
          <w:rFonts w:asciiTheme="minorHAnsi" w:hAnsiTheme="minorHAnsi" w:cstheme="minorHAnsi"/>
        </w:rPr>
        <w:t>follows:</w:t>
      </w:r>
    </w:p>
    <w:p w14:paraId="6E202316" w14:textId="77777777" w:rsidR="000A2798" w:rsidRPr="006D003D" w:rsidRDefault="000A2798" w:rsidP="000A2798">
      <w:pPr>
        <w:autoSpaceDE w:val="0"/>
        <w:autoSpaceDN w:val="0"/>
        <w:adjustRightInd w:val="0"/>
        <w:rPr>
          <w:rFonts w:asciiTheme="minorHAnsi" w:hAnsiTheme="minorHAnsi" w:cstheme="minorHAnsi"/>
        </w:rPr>
      </w:pPr>
    </w:p>
    <w:p w14:paraId="61EEE8BE" w14:textId="77777777" w:rsidR="006D003D" w:rsidRPr="006D003D" w:rsidRDefault="006D003D" w:rsidP="000A2798">
      <w:pPr>
        <w:ind w:left="720"/>
        <w:rPr>
          <w:rFonts w:asciiTheme="minorHAnsi" w:hAnsiTheme="minorHAnsi" w:cstheme="minorHAnsi"/>
        </w:rPr>
      </w:pPr>
      <w:r w:rsidRPr="006D003D">
        <w:rPr>
          <w:rFonts w:asciiTheme="minorHAnsi" w:hAnsiTheme="minorHAnsi" w:cstheme="minorHAnsi"/>
          <w:b/>
        </w:rPr>
        <w:t>c.</w:t>
      </w:r>
      <w:r w:rsidRPr="006D003D">
        <w:rPr>
          <w:rFonts w:asciiTheme="minorHAnsi" w:hAnsiTheme="minorHAnsi" w:cstheme="minorHAnsi"/>
        </w:rPr>
        <w:t xml:space="preserve"> Four credits of mathematics to minimally include: </w:t>
      </w:r>
    </w:p>
    <w:p w14:paraId="2563B4A4" w14:textId="77777777" w:rsidR="006D003D" w:rsidRDefault="006D003D" w:rsidP="000A2798">
      <w:pPr>
        <w:ind w:left="1710" w:hanging="270"/>
        <w:rPr>
          <w:rFonts w:asciiTheme="minorHAnsi" w:hAnsiTheme="minorHAnsi" w:cstheme="minorHAnsi"/>
        </w:rPr>
      </w:pPr>
      <w:r w:rsidRPr="006D003D">
        <w:rPr>
          <w:rFonts w:asciiTheme="minorHAnsi" w:hAnsiTheme="minorHAnsi" w:cstheme="minorHAnsi"/>
        </w:rPr>
        <w:t>i. Three credits containing course</w:t>
      </w:r>
      <w:r w:rsidR="00114BF1">
        <w:rPr>
          <w:rFonts w:asciiTheme="minorHAnsi" w:hAnsiTheme="minorHAnsi" w:cstheme="minorHAnsi"/>
        </w:rPr>
        <w:t xml:space="preserve"> content</w:t>
      </w:r>
      <w:r w:rsidRPr="006D003D">
        <w:rPr>
          <w:rFonts w:asciiTheme="minorHAnsi" w:hAnsiTheme="minorHAnsi" w:cstheme="minorHAnsi"/>
        </w:rPr>
        <w:t xml:space="preserve"> in preparation for proficiency at the high school level on the statewide assessment and aligned to the Arizona Mathematics Standards for Algebra I, Geometry, and Algebra II. These three credits shall be taken beginning with the ninth grade unless a student meets these requirements prior to the ninth grade pursuant to subsection (1)(c)(iii). The requirement for the third credit covering Algebra II, may be met by, but is not limited to the following: a math course comparable to Algebra II course content; computer science, career and technical education and vocational education, economics, science and arts courses as determined by the local school district governing board or charter school.</w:t>
      </w:r>
    </w:p>
    <w:p w14:paraId="7D15B577" w14:textId="77777777" w:rsidR="000A2798" w:rsidRPr="006D003D" w:rsidRDefault="000A2798" w:rsidP="000A2798">
      <w:pPr>
        <w:ind w:left="1710" w:hanging="270"/>
        <w:rPr>
          <w:rFonts w:asciiTheme="minorHAnsi" w:hAnsiTheme="minorHAnsi" w:cstheme="minorHAnsi"/>
        </w:rPr>
      </w:pPr>
    </w:p>
    <w:p w14:paraId="44DF97C8" w14:textId="77777777" w:rsidR="006D003D" w:rsidRDefault="006D003D" w:rsidP="000A2798">
      <w:pPr>
        <w:ind w:left="1710" w:hanging="270"/>
        <w:rPr>
          <w:rFonts w:asciiTheme="minorHAnsi" w:hAnsiTheme="minorHAnsi" w:cstheme="minorHAnsi"/>
          <w:b/>
        </w:rPr>
      </w:pPr>
      <w:r w:rsidRPr="003567F9">
        <w:rPr>
          <w:rFonts w:asciiTheme="minorHAnsi" w:hAnsiTheme="minorHAnsi" w:cstheme="minorHAnsi"/>
        </w:rPr>
        <w:t>ii.</w:t>
      </w:r>
      <w:r w:rsidRPr="006D003D">
        <w:rPr>
          <w:rFonts w:asciiTheme="minorHAnsi" w:hAnsiTheme="minorHAnsi" w:cstheme="minorHAnsi"/>
          <w:b/>
        </w:rPr>
        <w:t xml:space="preserve"> A fourth credit that includes significant mathematics content as determined by the local school district governing board or charter school. </w:t>
      </w:r>
    </w:p>
    <w:p w14:paraId="50CEAFBE" w14:textId="77777777" w:rsidR="000A2798" w:rsidRPr="006D003D" w:rsidRDefault="000A2798" w:rsidP="000A2798">
      <w:pPr>
        <w:ind w:left="1710" w:hanging="270"/>
        <w:rPr>
          <w:rFonts w:asciiTheme="minorHAnsi" w:hAnsiTheme="minorHAnsi" w:cstheme="minorHAnsi"/>
          <w:b/>
        </w:rPr>
      </w:pPr>
    </w:p>
    <w:p w14:paraId="2438EEEE" w14:textId="77777777" w:rsidR="006D003D" w:rsidRDefault="006D003D" w:rsidP="000A2798">
      <w:pPr>
        <w:ind w:left="1710" w:hanging="270"/>
        <w:rPr>
          <w:rFonts w:asciiTheme="minorHAnsi" w:hAnsiTheme="minorHAnsi" w:cstheme="minorHAnsi"/>
        </w:rPr>
      </w:pPr>
      <w:r w:rsidRPr="006D003D">
        <w:rPr>
          <w:rFonts w:asciiTheme="minorHAnsi" w:hAnsiTheme="minorHAnsi" w:cstheme="minorHAnsi"/>
        </w:rPr>
        <w:t>iii. Courses successfully completed prior to the ninth grade that meet the high school mathematics credit requirements may be applied toward satisfying those requirements.</w:t>
      </w:r>
    </w:p>
    <w:p w14:paraId="3732F14F" w14:textId="77777777" w:rsidR="000A2798" w:rsidRPr="006D003D" w:rsidRDefault="000A2798" w:rsidP="000A2798">
      <w:pPr>
        <w:ind w:left="1710" w:hanging="270"/>
        <w:rPr>
          <w:rFonts w:asciiTheme="minorHAnsi" w:hAnsiTheme="minorHAnsi" w:cstheme="minorHAnsi"/>
        </w:rPr>
      </w:pPr>
    </w:p>
    <w:p w14:paraId="38603D2A" w14:textId="77777777" w:rsidR="006D003D" w:rsidRPr="006D003D" w:rsidRDefault="006D003D" w:rsidP="000A2798">
      <w:pPr>
        <w:ind w:left="1800" w:hanging="360"/>
        <w:rPr>
          <w:rFonts w:asciiTheme="minorHAnsi" w:hAnsiTheme="minorHAnsi" w:cstheme="minorHAnsi"/>
          <w:b/>
        </w:rPr>
      </w:pPr>
      <w:r w:rsidRPr="006D003D">
        <w:rPr>
          <w:rFonts w:asciiTheme="minorHAnsi" w:hAnsiTheme="minorHAnsi" w:cstheme="minorHAnsi"/>
        </w:rPr>
        <w:t>iv. The mathematics requirements may be modified for students using a Personal Curriculum pursuant to</w:t>
      </w:r>
      <w:r w:rsidR="00226442">
        <w:rPr>
          <w:rFonts w:asciiTheme="minorHAnsi" w:hAnsiTheme="minorHAnsi" w:cstheme="minorHAnsi"/>
        </w:rPr>
        <w:t xml:space="preserve">                 </w:t>
      </w:r>
      <w:r w:rsidRPr="006D003D">
        <w:rPr>
          <w:rFonts w:asciiTheme="minorHAnsi" w:hAnsiTheme="minorHAnsi" w:cstheme="minorHAnsi"/>
        </w:rPr>
        <w:t xml:space="preserve"> R7-2-302.03.</w:t>
      </w:r>
    </w:p>
    <w:p w14:paraId="5F174973" w14:textId="77777777" w:rsidR="00172019" w:rsidRDefault="00172019" w:rsidP="00172019">
      <w:pPr>
        <w:autoSpaceDE w:val="0"/>
        <w:autoSpaceDN w:val="0"/>
        <w:adjustRightInd w:val="0"/>
        <w:jc w:val="center"/>
        <w:rPr>
          <w:b/>
        </w:rPr>
      </w:pPr>
    </w:p>
    <w:p w14:paraId="1B69AEC6" w14:textId="77777777" w:rsidR="00114BF1" w:rsidRDefault="00D0181F" w:rsidP="004959DC">
      <w:pPr>
        <w:shd w:val="clear" w:color="auto" w:fill="F7F7F7"/>
        <w:rPr>
          <w:rFonts w:asciiTheme="minorHAnsi" w:hAnsiTheme="minorHAnsi"/>
          <w:b/>
          <w:sz w:val="28"/>
          <w:szCs w:val="28"/>
        </w:rPr>
      </w:pPr>
      <w:r>
        <w:rPr>
          <w:rFonts w:asciiTheme="minorHAnsi" w:hAnsiTheme="minorHAnsi"/>
          <w:b/>
          <w:sz w:val="28"/>
          <w:szCs w:val="28"/>
        </w:rPr>
        <w:lastRenderedPageBreak/>
        <w:t>High School Course Pathways</w:t>
      </w:r>
    </w:p>
    <w:p w14:paraId="4062AE48" w14:textId="4884830E" w:rsidR="007841A3" w:rsidRDefault="00C55A3F" w:rsidP="001F3155">
      <w:pPr>
        <w:jc w:val="center"/>
      </w:pPr>
      <w:r>
        <w:rPr>
          <w:noProof/>
        </w:rPr>
        <w:drawing>
          <wp:inline distT="0" distB="0" distL="0" distR="0" wp14:anchorId="1EA487AE" wp14:editId="12F6BE97">
            <wp:extent cx="7391400" cy="56866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02538" cy="5695268"/>
                    </a:xfrm>
                    <a:prstGeom prst="rect">
                      <a:avLst/>
                    </a:prstGeom>
                  </pic:spPr>
                </pic:pic>
              </a:graphicData>
            </a:graphic>
          </wp:inline>
        </w:drawing>
      </w:r>
    </w:p>
    <w:p w14:paraId="24C4DD85" w14:textId="1C138308" w:rsidR="00901C1D" w:rsidRDefault="00114BF1" w:rsidP="00901C1D">
      <w:pPr>
        <w:shd w:val="clear" w:color="auto" w:fill="F7F7F7"/>
        <w:rPr>
          <w:rFonts w:asciiTheme="minorHAnsi" w:hAnsiTheme="minorHAnsi"/>
          <w:b/>
          <w:sz w:val="28"/>
          <w:szCs w:val="28"/>
        </w:rPr>
      </w:pPr>
      <w:r>
        <w:rPr>
          <w:rFonts w:asciiTheme="minorHAnsi" w:hAnsiTheme="minorHAnsi"/>
          <w:b/>
          <w:sz w:val="28"/>
          <w:szCs w:val="28"/>
        </w:rPr>
        <w:lastRenderedPageBreak/>
        <w:t xml:space="preserve">High </w:t>
      </w:r>
      <w:r w:rsidR="0087001D">
        <w:rPr>
          <w:rFonts w:asciiTheme="minorHAnsi" w:hAnsiTheme="minorHAnsi"/>
          <w:b/>
          <w:sz w:val="28"/>
          <w:szCs w:val="28"/>
        </w:rPr>
        <w:t>School Course Pathways – Fourth-</w:t>
      </w:r>
      <w:r w:rsidR="00901C1D">
        <w:rPr>
          <w:rFonts w:asciiTheme="minorHAnsi" w:hAnsiTheme="minorHAnsi"/>
          <w:b/>
          <w:sz w:val="28"/>
          <w:szCs w:val="28"/>
        </w:rPr>
        <w:t>Credit Options</w:t>
      </w:r>
      <w:r w:rsidR="008D197A">
        <w:rPr>
          <w:rFonts w:asciiTheme="minorHAnsi" w:hAnsiTheme="minorHAnsi"/>
          <w:b/>
          <w:sz w:val="28"/>
          <w:szCs w:val="28"/>
        </w:rPr>
        <w:t xml:space="preserve"> </w:t>
      </w:r>
    </w:p>
    <w:p w14:paraId="2F72F73B" w14:textId="77777777" w:rsidR="00901C1D" w:rsidRPr="003567F9" w:rsidRDefault="00901C1D" w:rsidP="001F3155">
      <w:pPr>
        <w:jc w:val="center"/>
        <w:rPr>
          <w:rFonts w:asciiTheme="minorHAnsi" w:hAnsiTheme="minorHAnsi" w:cstheme="minorHAnsi"/>
        </w:rPr>
      </w:pPr>
    </w:p>
    <w:p w14:paraId="14846F1D" w14:textId="5FD8998E" w:rsidR="000F57AD" w:rsidRPr="003567F9" w:rsidRDefault="003567F9" w:rsidP="003567F9">
      <w:pPr>
        <w:rPr>
          <w:rFonts w:asciiTheme="minorHAnsi" w:hAnsiTheme="minorHAnsi" w:cstheme="minorHAnsi"/>
        </w:rPr>
      </w:pPr>
      <w:r w:rsidRPr="003567F9">
        <w:rPr>
          <w:rFonts w:asciiTheme="minorHAnsi" w:hAnsiTheme="minorHAnsi" w:cstheme="minorHAnsi"/>
        </w:rPr>
        <w:t>The first action item of the Advanced Mathematics Committee</w:t>
      </w:r>
      <w:r w:rsidR="000F57AD">
        <w:rPr>
          <w:rFonts w:asciiTheme="minorHAnsi" w:hAnsiTheme="minorHAnsi" w:cstheme="minorHAnsi"/>
        </w:rPr>
        <w:t xml:space="preserve"> (AMC)</w:t>
      </w:r>
      <w:r w:rsidRPr="003567F9">
        <w:rPr>
          <w:rFonts w:asciiTheme="minorHAnsi" w:hAnsiTheme="minorHAnsi" w:cstheme="minorHAnsi"/>
        </w:rPr>
        <w:t xml:space="preserve"> was to analyze a</w:t>
      </w:r>
      <w:r>
        <w:rPr>
          <w:rFonts w:asciiTheme="minorHAnsi" w:hAnsiTheme="minorHAnsi" w:cstheme="minorHAnsi"/>
        </w:rPr>
        <w:t>ll</w:t>
      </w:r>
      <w:r w:rsidR="007600FE">
        <w:rPr>
          <w:rFonts w:asciiTheme="minorHAnsi" w:hAnsiTheme="minorHAnsi" w:cstheme="minorHAnsi"/>
        </w:rPr>
        <w:t xml:space="preserve"> fourth-</w:t>
      </w:r>
      <w:r w:rsidRPr="003567F9">
        <w:rPr>
          <w:rFonts w:asciiTheme="minorHAnsi" w:hAnsiTheme="minorHAnsi" w:cstheme="minorHAnsi"/>
        </w:rPr>
        <w:t>credit math courses entered by LEA’s in</w:t>
      </w:r>
      <w:r w:rsidR="000F57AD">
        <w:rPr>
          <w:rFonts w:asciiTheme="minorHAnsi" w:hAnsiTheme="minorHAnsi" w:cstheme="minorHAnsi"/>
        </w:rPr>
        <w:t xml:space="preserve"> the </w:t>
      </w:r>
      <w:r w:rsidR="00530AE1">
        <w:rPr>
          <w:rFonts w:asciiTheme="minorHAnsi" w:hAnsiTheme="minorHAnsi" w:cstheme="minorHAnsi"/>
        </w:rPr>
        <w:t>Student, Teacher, Course Catalog</w:t>
      </w:r>
      <w:r w:rsidR="000F57AD">
        <w:rPr>
          <w:rFonts w:asciiTheme="minorHAnsi" w:hAnsiTheme="minorHAnsi" w:cstheme="minorHAnsi"/>
        </w:rPr>
        <w:t>.  This analysi</w:t>
      </w:r>
      <w:r w:rsidR="00114BF1">
        <w:rPr>
          <w:rFonts w:asciiTheme="minorHAnsi" w:hAnsiTheme="minorHAnsi" w:cstheme="minorHAnsi"/>
        </w:rPr>
        <w:t>s produced thirty-t</w:t>
      </w:r>
      <w:r w:rsidR="007600FE">
        <w:rPr>
          <w:rFonts w:asciiTheme="minorHAnsi" w:hAnsiTheme="minorHAnsi" w:cstheme="minorHAnsi"/>
        </w:rPr>
        <w:t>wo pages of fourth-</w:t>
      </w:r>
      <w:r w:rsidR="000F57AD">
        <w:rPr>
          <w:rFonts w:asciiTheme="minorHAnsi" w:hAnsiTheme="minorHAnsi" w:cstheme="minorHAnsi"/>
        </w:rPr>
        <w:t xml:space="preserve">credit courses with </w:t>
      </w:r>
      <w:r w:rsidR="00530AE1">
        <w:rPr>
          <w:rFonts w:asciiTheme="minorHAnsi" w:hAnsiTheme="minorHAnsi" w:cstheme="minorHAnsi"/>
        </w:rPr>
        <w:t xml:space="preserve">over </w:t>
      </w:r>
      <w:r w:rsidR="000F57AD">
        <w:rPr>
          <w:rFonts w:asciiTheme="minorHAnsi" w:hAnsiTheme="minorHAnsi" w:cstheme="minorHAnsi"/>
        </w:rPr>
        <w:t xml:space="preserve">thirty different courses </w:t>
      </w:r>
      <w:r w:rsidR="00530AE1">
        <w:rPr>
          <w:rFonts w:asciiTheme="minorHAnsi" w:hAnsiTheme="minorHAnsi" w:cstheme="minorHAnsi"/>
        </w:rPr>
        <w:t>entered by LEA’s</w:t>
      </w:r>
      <w:r w:rsidR="000F57AD">
        <w:rPr>
          <w:rFonts w:asciiTheme="minorHAnsi" w:hAnsiTheme="minorHAnsi" w:cstheme="minorHAnsi"/>
        </w:rPr>
        <w:t>.  From this extensive list, the AMC then categorized courses by those that already had standards associated with them and those that had confirmed dual credit/enrollment options.</w:t>
      </w:r>
    </w:p>
    <w:tbl>
      <w:tblPr>
        <w:tblStyle w:val="TableGrid"/>
        <w:tblW w:w="10165" w:type="dxa"/>
        <w:jc w:val="center"/>
        <w:tblLayout w:type="fixed"/>
        <w:tblLook w:val="04A0" w:firstRow="1" w:lastRow="0" w:firstColumn="1" w:lastColumn="0" w:noHBand="0" w:noVBand="1"/>
      </w:tblPr>
      <w:tblGrid>
        <w:gridCol w:w="675"/>
        <w:gridCol w:w="3190"/>
        <w:gridCol w:w="1418"/>
        <w:gridCol w:w="2272"/>
        <w:gridCol w:w="2610"/>
      </w:tblGrid>
      <w:tr w:rsidR="00F13AE8" w:rsidRPr="000F57AD" w14:paraId="3D3BB888" w14:textId="77777777" w:rsidTr="007600FE">
        <w:trPr>
          <w:trHeight w:val="1043"/>
          <w:jc w:val="center"/>
        </w:trPr>
        <w:tc>
          <w:tcPr>
            <w:tcW w:w="675" w:type="dxa"/>
          </w:tcPr>
          <w:p w14:paraId="37A76B3A" w14:textId="77777777" w:rsidR="00F13AE8" w:rsidRPr="000F57AD" w:rsidRDefault="00F13AE8" w:rsidP="000F57AD">
            <w:pPr>
              <w:jc w:val="center"/>
              <w:rPr>
                <w:rFonts w:ascii="Calibri" w:eastAsia="Calibri" w:hAnsi="Calibri"/>
                <w:sz w:val="22"/>
                <w:szCs w:val="22"/>
              </w:rPr>
            </w:pPr>
          </w:p>
        </w:tc>
        <w:tc>
          <w:tcPr>
            <w:tcW w:w="3190" w:type="dxa"/>
          </w:tcPr>
          <w:p w14:paraId="2CC952AF" w14:textId="2E0D57EE" w:rsidR="00F13AE8" w:rsidRPr="008B69C1" w:rsidRDefault="007600FE" w:rsidP="000F57AD">
            <w:pPr>
              <w:jc w:val="center"/>
              <w:rPr>
                <w:rFonts w:ascii="Calibri" w:eastAsia="Calibri" w:hAnsi="Calibri"/>
                <w:b/>
                <w:sz w:val="26"/>
                <w:szCs w:val="26"/>
              </w:rPr>
            </w:pPr>
            <w:r>
              <w:rPr>
                <w:rFonts w:ascii="Calibri" w:eastAsia="Calibri" w:hAnsi="Calibri"/>
                <w:b/>
                <w:sz w:val="26"/>
                <w:szCs w:val="26"/>
              </w:rPr>
              <w:t>Current Fourth-</w:t>
            </w:r>
            <w:r w:rsidR="00F13AE8" w:rsidRPr="008B69C1">
              <w:rPr>
                <w:rFonts w:ascii="Calibri" w:eastAsia="Calibri" w:hAnsi="Calibri"/>
                <w:b/>
                <w:sz w:val="26"/>
                <w:szCs w:val="26"/>
              </w:rPr>
              <w:t>Credit Course Titles January 2017</w:t>
            </w:r>
          </w:p>
        </w:tc>
        <w:tc>
          <w:tcPr>
            <w:tcW w:w="1418" w:type="dxa"/>
          </w:tcPr>
          <w:p w14:paraId="4275C968" w14:textId="77777777" w:rsidR="00F13AE8" w:rsidRPr="008B69C1" w:rsidRDefault="00F13AE8" w:rsidP="000F57AD">
            <w:pPr>
              <w:jc w:val="center"/>
              <w:rPr>
                <w:rFonts w:ascii="Calibri" w:eastAsia="Calibri" w:hAnsi="Calibri"/>
                <w:b/>
                <w:sz w:val="26"/>
                <w:szCs w:val="26"/>
              </w:rPr>
            </w:pPr>
            <w:r w:rsidRPr="008B69C1">
              <w:rPr>
                <w:rFonts w:ascii="Calibri" w:eastAsia="Calibri" w:hAnsi="Calibri"/>
                <w:b/>
                <w:sz w:val="26"/>
                <w:szCs w:val="26"/>
              </w:rPr>
              <w:t>Current Standards</w:t>
            </w:r>
          </w:p>
        </w:tc>
        <w:tc>
          <w:tcPr>
            <w:tcW w:w="2272" w:type="dxa"/>
          </w:tcPr>
          <w:p w14:paraId="3BBC7FB6" w14:textId="77777777" w:rsidR="00F13AE8" w:rsidRPr="008B69C1" w:rsidRDefault="00F13AE8" w:rsidP="000F57AD">
            <w:pPr>
              <w:jc w:val="center"/>
              <w:rPr>
                <w:rFonts w:ascii="Calibri" w:eastAsia="Calibri" w:hAnsi="Calibri"/>
                <w:b/>
                <w:sz w:val="26"/>
                <w:szCs w:val="26"/>
              </w:rPr>
            </w:pPr>
            <w:r w:rsidRPr="008B69C1">
              <w:rPr>
                <w:rFonts w:ascii="Calibri" w:eastAsia="Calibri" w:hAnsi="Calibri"/>
                <w:b/>
                <w:sz w:val="26"/>
                <w:szCs w:val="26"/>
              </w:rPr>
              <w:t>Dual Credit/Enrollment</w:t>
            </w:r>
          </w:p>
        </w:tc>
        <w:tc>
          <w:tcPr>
            <w:tcW w:w="2610" w:type="dxa"/>
          </w:tcPr>
          <w:p w14:paraId="28A5670D" w14:textId="77777777" w:rsidR="007600FE" w:rsidRDefault="007600FE" w:rsidP="000F57AD">
            <w:pPr>
              <w:jc w:val="center"/>
              <w:rPr>
                <w:rFonts w:ascii="Calibri" w:eastAsia="Calibri" w:hAnsi="Calibri"/>
                <w:b/>
                <w:sz w:val="26"/>
                <w:szCs w:val="26"/>
              </w:rPr>
            </w:pPr>
            <w:r>
              <w:rPr>
                <w:rFonts w:ascii="Calibri" w:eastAsia="Calibri" w:hAnsi="Calibri"/>
                <w:b/>
                <w:sz w:val="26"/>
                <w:szCs w:val="26"/>
              </w:rPr>
              <w:t xml:space="preserve">AZ Public </w:t>
            </w:r>
            <w:r w:rsidR="00F13AE8" w:rsidRPr="008B69C1">
              <w:rPr>
                <w:rFonts w:ascii="Calibri" w:eastAsia="Calibri" w:hAnsi="Calibri"/>
                <w:b/>
                <w:sz w:val="26"/>
                <w:szCs w:val="26"/>
              </w:rPr>
              <w:t>Insti</w:t>
            </w:r>
            <w:r w:rsidR="00F1533C" w:rsidRPr="008B69C1">
              <w:rPr>
                <w:rFonts w:ascii="Calibri" w:eastAsia="Calibri" w:hAnsi="Calibri"/>
                <w:b/>
                <w:sz w:val="26"/>
                <w:szCs w:val="26"/>
              </w:rPr>
              <w:t>tutes of Higher Education</w:t>
            </w:r>
          </w:p>
          <w:p w14:paraId="497C364B" w14:textId="4E18505D" w:rsidR="00F13AE8" w:rsidRPr="008B69C1" w:rsidRDefault="00D23DF3" w:rsidP="000F57AD">
            <w:pPr>
              <w:jc w:val="center"/>
              <w:rPr>
                <w:rFonts w:ascii="Calibri" w:eastAsia="Calibri" w:hAnsi="Calibri"/>
                <w:b/>
                <w:sz w:val="26"/>
                <w:szCs w:val="26"/>
              </w:rPr>
            </w:pPr>
            <w:hyperlink r:id="rId13" w:history="1">
              <w:r w:rsidR="007600FE" w:rsidRPr="00B21D9B">
                <w:rPr>
                  <w:rStyle w:val="Hyperlink"/>
                  <w:rFonts w:ascii="Calibri" w:eastAsia="Calibri" w:hAnsi="Calibri"/>
                  <w:sz w:val="26"/>
                  <w:szCs w:val="26"/>
                </w:rPr>
                <w:t>SUN#</w:t>
              </w:r>
            </w:hyperlink>
            <w:r w:rsidR="00F1533C" w:rsidRPr="008B69C1">
              <w:rPr>
                <w:rFonts w:ascii="Calibri" w:eastAsia="Calibri" w:hAnsi="Calibri"/>
                <w:b/>
                <w:sz w:val="26"/>
                <w:szCs w:val="26"/>
              </w:rPr>
              <w:t xml:space="preserve"> </w:t>
            </w:r>
          </w:p>
        </w:tc>
      </w:tr>
      <w:tr w:rsidR="00F13AE8" w:rsidRPr="000F57AD" w14:paraId="63F21E7F" w14:textId="77777777" w:rsidTr="008B69C1">
        <w:trPr>
          <w:jc w:val="center"/>
        </w:trPr>
        <w:tc>
          <w:tcPr>
            <w:tcW w:w="675" w:type="dxa"/>
          </w:tcPr>
          <w:p w14:paraId="372318B7" w14:textId="77777777" w:rsidR="00F13AE8" w:rsidRPr="000F57AD" w:rsidRDefault="00F13AE8" w:rsidP="000F57AD">
            <w:pPr>
              <w:rPr>
                <w:rFonts w:ascii="Calibri" w:eastAsia="Calibri" w:hAnsi="Calibri"/>
                <w:sz w:val="22"/>
                <w:szCs w:val="22"/>
              </w:rPr>
            </w:pPr>
            <w:r w:rsidRPr="000F57AD">
              <w:rPr>
                <w:rFonts w:ascii="Calibri" w:eastAsia="Calibri" w:hAnsi="Calibri"/>
                <w:sz w:val="22"/>
                <w:szCs w:val="22"/>
              </w:rPr>
              <w:t>1</w:t>
            </w:r>
          </w:p>
        </w:tc>
        <w:tc>
          <w:tcPr>
            <w:tcW w:w="3190" w:type="dxa"/>
          </w:tcPr>
          <w:p w14:paraId="5878001E" w14:textId="77777777" w:rsidR="00F13AE8" w:rsidRPr="000F57AD" w:rsidRDefault="00F13AE8" w:rsidP="000F57AD">
            <w:pPr>
              <w:rPr>
                <w:rFonts w:asciiTheme="minorHAnsi" w:eastAsia="Calibri" w:hAnsiTheme="minorHAnsi" w:cstheme="minorHAnsi"/>
                <w:b/>
              </w:rPr>
            </w:pPr>
            <w:r w:rsidRPr="00530AE1">
              <w:rPr>
                <w:rFonts w:asciiTheme="minorHAnsi" w:eastAsia="Calibri" w:hAnsiTheme="minorHAnsi" w:cstheme="minorHAnsi"/>
                <w:b/>
              </w:rPr>
              <w:t>Precalculus</w:t>
            </w:r>
          </w:p>
        </w:tc>
        <w:tc>
          <w:tcPr>
            <w:tcW w:w="1418" w:type="dxa"/>
          </w:tcPr>
          <w:p w14:paraId="0EA95E5C" w14:textId="77777777" w:rsidR="00F13AE8" w:rsidRPr="000F57AD" w:rsidRDefault="00F13AE8" w:rsidP="000F57AD">
            <w:pPr>
              <w:rPr>
                <w:rFonts w:asciiTheme="minorHAnsi" w:eastAsia="Calibri" w:hAnsiTheme="minorHAnsi" w:cstheme="minorHAnsi"/>
              </w:rPr>
            </w:pPr>
          </w:p>
        </w:tc>
        <w:tc>
          <w:tcPr>
            <w:tcW w:w="2272" w:type="dxa"/>
          </w:tcPr>
          <w:p w14:paraId="1295B2A3" w14:textId="77777777" w:rsidR="00F13AE8" w:rsidRPr="000F57AD" w:rsidRDefault="00F13AE8" w:rsidP="000F57AD">
            <w:pPr>
              <w:rPr>
                <w:rFonts w:asciiTheme="minorHAnsi" w:eastAsia="Calibri" w:hAnsiTheme="minorHAnsi" w:cstheme="minorHAnsi"/>
              </w:rPr>
            </w:pPr>
            <w:r w:rsidRPr="000F57AD">
              <w:rPr>
                <w:rFonts w:asciiTheme="minorHAnsi" w:eastAsia="Calibri" w:hAnsiTheme="minorHAnsi" w:cstheme="minorHAnsi"/>
              </w:rPr>
              <w:t>X</w:t>
            </w:r>
          </w:p>
        </w:tc>
        <w:tc>
          <w:tcPr>
            <w:tcW w:w="2610" w:type="dxa"/>
          </w:tcPr>
          <w:p w14:paraId="13F2C812" w14:textId="392D1C77" w:rsidR="00F13AE8" w:rsidRPr="000F57AD" w:rsidRDefault="00DD33ED" w:rsidP="000F57AD">
            <w:pPr>
              <w:rPr>
                <w:rFonts w:asciiTheme="minorHAnsi" w:eastAsia="Calibri" w:hAnsiTheme="minorHAnsi" w:cstheme="minorHAnsi"/>
              </w:rPr>
            </w:pPr>
            <w:r>
              <w:rPr>
                <w:rFonts w:asciiTheme="minorHAnsi" w:eastAsia="Calibri" w:hAnsiTheme="minorHAnsi" w:cstheme="minorHAnsi"/>
              </w:rPr>
              <w:t xml:space="preserve">MAT </w:t>
            </w:r>
            <w:r w:rsidR="007600FE">
              <w:rPr>
                <w:rFonts w:asciiTheme="minorHAnsi" w:eastAsia="Calibri" w:hAnsiTheme="minorHAnsi" w:cstheme="minorHAnsi"/>
              </w:rPr>
              <w:t>1</w:t>
            </w:r>
            <w:r>
              <w:rPr>
                <w:rFonts w:asciiTheme="minorHAnsi" w:eastAsia="Calibri" w:hAnsiTheme="minorHAnsi" w:cstheme="minorHAnsi"/>
              </w:rPr>
              <w:t xml:space="preserve">187 </w:t>
            </w:r>
          </w:p>
        </w:tc>
      </w:tr>
      <w:tr w:rsidR="00F13AE8" w:rsidRPr="000F57AD" w14:paraId="57C5A890" w14:textId="77777777" w:rsidTr="008B69C1">
        <w:trPr>
          <w:jc w:val="center"/>
        </w:trPr>
        <w:tc>
          <w:tcPr>
            <w:tcW w:w="675" w:type="dxa"/>
          </w:tcPr>
          <w:p w14:paraId="5A88E4AC" w14:textId="77777777" w:rsidR="00F13AE8" w:rsidRPr="000F57AD" w:rsidRDefault="00F13AE8" w:rsidP="000F57AD">
            <w:pPr>
              <w:rPr>
                <w:rFonts w:ascii="Calibri" w:eastAsia="Calibri" w:hAnsi="Calibri"/>
                <w:sz w:val="22"/>
                <w:szCs w:val="22"/>
              </w:rPr>
            </w:pPr>
            <w:r w:rsidRPr="000F57AD">
              <w:rPr>
                <w:rFonts w:ascii="Calibri" w:eastAsia="Calibri" w:hAnsi="Calibri"/>
                <w:sz w:val="22"/>
                <w:szCs w:val="22"/>
              </w:rPr>
              <w:t>2</w:t>
            </w:r>
          </w:p>
        </w:tc>
        <w:tc>
          <w:tcPr>
            <w:tcW w:w="3190" w:type="dxa"/>
          </w:tcPr>
          <w:p w14:paraId="50B981F6" w14:textId="77777777" w:rsidR="00F13AE8" w:rsidRPr="000F57AD" w:rsidRDefault="00F13AE8" w:rsidP="000F57AD">
            <w:pPr>
              <w:rPr>
                <w:rFonts w:asciiTheme="minorHAnsi" w:eastAsia="Calibri" w:hAnsiTheme="minorHAnsi" w:cstheme="minorHAnsi"/>
                <w:b/>
              </w:rPr>
            </w:pPr>
            <w:r w:rsidRPr="00530AE1">
              <w:rPr>
                <w:rFonts w:asciiTheme="minorHAnsi" w:eastAsia="Calibri" w:hAnsiTheme="minorHAnsi" w:cstheme="minorHAnsi"/>
                <w:b/>
              </w:rPr>
              <w:t>College Algebra</w:t>
            </w:r>
          </w:p>
        </w:tc>
        <w:tc>
          <w:tcPr>
            <w:tcW w:w="1418" w:type="dxa"/>
          </w:tcPr>
          <w:p w14:paraId="77BB8E49" w14:textId="77777777" w:rsidR="00F13AE8" w:rsidRPr="000F57AD" w:rsidRDefault="00F13AE8" w:rsidP="000F57AD">
            <w:pPr>
              <w:rPr>
                <w:rFonts w:asciiTheme="minorHAnsi" w:eastAsia="Calibri" w:hAnsiTheme="minorHAnsi" w:cstheme="minorHAnsi"/>
              </w:rPr>
            </w:pPr>
          </w:p>
        </w:tc>
        <w:tc>
          <w:tcPr>
            <w:tcW w:w="2272" w:type="dxa"/>
          </w:tcPr>
          <w:p w14:paraId="714E7124" w14:textId="77777777" w:rsidR="00F13AE8" w:rsidRPr="000F57AD" w:rsidRDefault="00F13AE8" w:rsidP="000F57AD">
            <w:pPr>
              <w:rPr>
                <w:rFonts w:asciiTheme="minorHAnsi" w:eastAsia="Calibri" w:hAnsiTheme="minorHAnsi" w:cstheme="minorHAnsi"/>
              </w:rPr>
            </w:pPr>
            <w:r w:rsidRPr="000F57AD">
              <w:rPr>
                <w:rFonts w:asciiTheme="minorHAnsi" w:eastAsia="Calibri" w:hAnsiTheme="minorHAnsi" w:cstheme="minorHAnsi"/>
              </w:rPr>
              <w:t>X</w:t>
            </w:r>
          </w:p>
        </w:tc>
        <w:tc>
          <w:tcPr>
            <w:tcW w:w="2610" w:type="dxa"/>
          </w:tcPr>
          <w:p w14:paraId="69575E33" w14:textId="4B72F625" w:rsidR="00F13AE8" w:rsidRPr="000F57AD" w:rsidRDefault="00F80722" w:rsidP="000F57AD">
            <w:pPr>
              <w:rPr>
                <w:rFonts w:asciiTheme="minorHAnsi" w:eastAsia="Calibri" w:hAnsiTheme="minorHAnsi" w:cstheme="minorHAnsi"/>
              </w:rPr>
            </w:pPr>
            <w:r>
              <w:rPr>
                <w:rFonts w:asciiTheme="minorHAnsi" w:eastAsia="Calibri" w:hAnsiTheme="minorHAnsi" w:cstheme="minorHAnsi"/>
              </w:rPr>
              <w:t xml:space="preserve">MAT </w:t>
            </w:r>
            <w:r w:rsidR="007600FE">
              <w:rPr>
                <w:rFonts w:asciiTheme="minorHAnsi" w:eastAsia="Calibri" w:hAnsiTheme="minorHAnsi" w:cstheme="minorHAnsi"/>
              </w:rPr>
              <w:t>1151</w:t>
            </w:r>
          </w:p>
        </w:tc>
      </w:tr>
      <w:tr w:rsidR="00F13AE8" w:rsidRPr="000F57AD" w14:paraId="0D0C7E14" w14:textId="77777777" w:rsidTr="008B69C1">
        <w:trPr>
          <w:jc w:val="center"/>
        </w:trPr>
        <w:tc>
          <w:tcPr>
            <w:tcW w:w="675" w:type="dxa"/>
          </w:tcPr>
          <w:p w14:paraId="54E07494" w14:textId="77777777" w:rsidR="00F13AE8" w:rsidRPr="000F57AD" w:rsidRDefault="00F13AE8" w:rsidP="000F57AD">
            <w:pPr>
              <w:rPr>
                <w:rFonts w:ascii="Calibri" w:eastAsia="Calibri" w:hAnsi="Calibri"/>
                <w:sz w:val="22"/>
                <w:szCs w:val="22"/>
              </w:rPr>
            </w:pPr>
            <w:r>
              <w:rPr>
                <w:rFonts w:ascii="Calibri" w:eastAsia="Calibri" w:hAnsi="Calibri"/>
                <w:sz w:val="22"/>
                <w:szCs w:val="22"/>
              </w:rPr>
              <w:t>3</w:t>
            </w:r>
          </w:p>
        </w:tc>
        <w:tc>
          <w:tcPr>
            <w:tcW w:w="3190" w:type="dxa"/>
          </w:tcPr>
          <w:p w14:paraId="41E52A8E" w14:textId="284F9A76" w:rsidR="00F13AE8" w:rsidRPr="000F57AD" w:rsidRDefault="007600FE" w:rsidP="000F57AD">
            <w:pPr>
              <w:rPr>
                <w:rFonts w:asciiTheme="minorHAnsi" w:eastAsia="Calibri" w:hAnsiTheme="minorHAnsi" w:cstheme="minorHAnsi"/>
                <w:b/>
              </w:rPr>
            </w:pPr>
            <w:r>
              <w:rPr>
                <w:rFonts w:asciiTheme="minorHAnsi" w:eastAsia="Calibri" w:hAnsiTheme="minorHAnsi" w:cstheme="minorHAnsi"/>
                <w:b/>
              </w:rPr>
              <w:t>College Mathematics</w:t>
            </w:r>
          </w:p>
        </w:tc>
        <w:tc>
          <w:tcPr>
            <w:tcW w:w="1418" w:type="dxa"/>
          </w:tcPr>
          <w:p w14:paraId="0F9E6CCB" w14:textId="77777777" w:rsidR="00F13AE8" w:rsidRPr="000F57AD" w:rsidRDefault="00F13AE8" w:rsidP="000F57AD">
            <w:pPr>
              <w:rPr>
                <w:rFonts w:asciiTheme="minorHAnsi" w:eastAsia="Calibri" w:hAnsiTheme="minorHAnsi" w:cstheme="minorHAnsi"/>
              </w:rPr>
            </w:pPr>
          </w:p>
        </w:tc>
        <w:tc>
          <w:tcPr>
            <w:tcW w:w="2272" w:type="dxa"/>
          </w:tcPr>
          <w:p w14:paraId="4BC06E1A" w14:textId="77777777" w:rsidR="00F13AE8" w:rsidRPr="000F57AD" w:rsidRDefault="00F13AE8" w:rsidP="000F57AD">
            <w:pPr>
              <w:rPr>
                <w:rFonts w:asciiTheme="minorHAnsi" w:eastAsia="Calibri" w:hAnsiTheme="minorHAnsi" w:cstheme="minorHAnsi"/>
              </w:rPr>
            </w:pPr>
            <w:r w:rsidRPr="000F57AD">
              <w:rPr>
                <w:rFonts w:asciiTheme="minorHAnsi" w:eastAsia="Calibri" w:hAnsiTheme="minorHAnsi" w:cstheme="minorHAnsi"/>
              </w:rPr>
              <w:t>X</w:t>
            </w:r>
          </w:p>
        </w:tc>
        <w:tc>
          <w:tcPr>
            <w:tcW w:w="2610" w:type="dxa"/>
          </w:tcPr>
          <w:p w14:paraId="304CCACA" w14:textId="40E23114" w:rsidR="00F13AE8" w:rsidRPr="000F57AD" w:rsidRDefault="007600FE" w:rsidP="000F57AD">
            <w:pPr>
              <w:rPr>
                <w:rFonts w:asciiTheme="minorHAnsi" w:eastAsia="Calibri" w:hAnsiTheme="minorHAnsi" w:cstheme="minorHAnsi"/>
              </w:rPr>
            </w:pPr>
            <w:r>
              <w:rPr>
                <w:rFonts w:asciiTheme="minorHAnsi" w:eastAsia="Calibri" w:hAnsiTheme="minorHAnsi" w:cstheme="minorHAnsi"/>
              </w:rPr>
              <w:t>MAT</w:t>
            </w:r>
            <w:r w:rsidR="00F80722">
              <w:rPr>
                <w:rFonts w:asciiTheme="minorHAnsi" w:eastAsia="Calibri" w:hAnsiTheme="minorHAnsi" w:cstheme="minorHAnsi"/>
              </w:rPr>
              <w:t xml:space="preserve"> </w:t>
            </w:r>
            <w:r>
              <w:rPr>
                <w:rFonts w:asciiTheme="minorHAnsi" w:eastAsia="Calibri" w:hAnsiTheme="minorHAnsi" w:cstheme="minorHAnsi"/>
              </w:rPr>
              <w:t>1142</w:t>
            </w:r>
          </w:p>
        </w:tc>
      </w:tr>
      <w:tr w:rsidR="00F13AE8" w:rsidRPr="000F57AD" w14:paraId="78425031" w14:textId="77777777" w:rsidTr="008B69C1">
        <w:trPr>
          <w:jc w:val="center"/>
        </w:trPr>
        <w:tc>
          <w:tcPr>
            <w:tcW w:w="675" w:type="dxa"/>
          </w:tcPr>
          <w:p w14:paraId="334D7ED0" w14:textId="77777777" w:rsidR="00F13AE8" w:rsidRDefault="00F13AE8" w:rsidP="000F57AD">
            <w:pPr>
              <w:rPr>
                <w:rFonts w:ascii="Calibri" w:eastAsia="Calibri" w:hAnsi="Calibri"/>
                <w:sz w:val="22"/>
                <w:szCs w:val="22"/>
              </w:rPr>
            </w:pPr>
            <w:r>
              <w:rPr>
                <w:rFonts w:ascii="Calibri" w:eastAsia="Calibri" w:hAnsi="Calibri"/>
                <w:sz w:val="22"/>
                <w:szCs w:val="22"/>
              </w:rPr>
              <w:t>4</w:t>
            </w:r>
          </w:p>
        </w:tc>
        <w:tc>
          <w:tcPr>
            <w:tcW w:w="3190" w:type="dxa"/>
          </w:tcPr>
          <w:p w14:paraId="3F06B838" w14:textId="77777777" w:rsidR="00F13AE8" w:rsidRPr="00530AE1" w:rsidRDefault="00F13AE8" w:rsidP="000F57AD">
            <w:pPr>
              <w:rPr>
                <w:rFonts w:asciiTheme="minorHAnsi" w:eastAsia="Calibri" w:hAnsiTheme="minorHAnsi" w:cstheme="minorHAnsi"/>
                <w:b/>
              </w:rPr>
            </w:pPr>
            <w:r w:rsidRPr="00530AE1">
              <w:rPr>
                <w:rFonts w:asciiTheme="minorHAnsi" w:eastAsia="Calibri" w:hAnsiTheme="minorHAnsi" w:cstheme="minorHAnsi"/>
                <w:b/>
              </w:rPr>
              <w:t>Quantitative Reasoning</w:t>
            </w:r>
          </w:p>
        </w:tc>
        <w:tc>
          <w:tcPr>
            <w:tcW w:w="1418" w:type="dxa"/>
          </w:tcPr>
          <w:p w14:paraId="7FD62132" w14:textId="77777777" w:rsidR="00F13AE8" w:rsidRPr="000F57AD" w:rsidRDefault="00F13AE8" w:rsidP="000F57AD">
            <w:pPr>
              <w:rPr>
                <w:rFonts w:asciiTheme="minorHAnsi" w:eastAsia="Calibri" w:hAnsiTheme="minorHAnsi" w:cstheme="minorHAnsi"/>
              </w:rPr>
            </w:pPr>
          </w:p>
        </w:tc>
        <w:tc>
          <w:tcPr>
            <w:tcW w:w="2272" w:type="dxa"/>
          </w:tcPr>
          <w:p w14:paraId="54C467BC" w14:textId="77777777" w:rsidR="00F13AE8" w:rsidRPr="000F57AD"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610" w:type="dxa"/>
          </w:tcPr>
          <w:p w14:paraId="0DCC78C8" w14:textId="7AB7A147" w:rsidR="00F13AE8" w:rsidRPr="000F57AD" w:rsidRDefault="00F1533C" w:rsidP="000F57AD">
            <w:pPr>
              <w:rPr>
                <w:rFonts w:asciiTheme="minorHAnsi" w:eastAsia="Calibri" w:hAnsiTheme="minorHAnsi" w:cstheme="minorHAnsi"/>
              </w:rPr>
            </w:pPr>
            <w:r>
              <w:rPr>
                <w:rFonts w:asciiTheme="minorHAnsi" w:eastAsia="Calibri" w:hAnsiTheme="minorHAnsi" w:cstheme="minorHAnsi"/>
              </w:rPr>
              <w:t xml:space="preserve">MAT </w:t>
            </w:r>
            <w:r w:rsidR="007600FE">
              <w:rPr>
                <w:rFonts w:asciiTheme="minorHAnsi" w:eastAsia="Calibri" w:hAnsiTheme="minorHAnsi" w:cstheme="minorHAnsi"/>
              </w:rPr>
              <w:t>1142</w:t>
            </w:r>
          </w:p>
        </w:tc>
      </w:tr>
      <w:tr w:rsidR="00F13AE8" w:rsidRPr="000F57AD" w14:paraId="2DFEFFCE" w14:textId="77777777" w:rsidTr="008B69C1">
        <w:trPr>
          <w:jc w:val="center"/>
        </w:trPr>
        <w:tc>
          <w:tcPr>
            <w:tcW w:w="675" w:type="dxa"/>
          </w:tcPr>
          <w:p w14:paraId="230B6934" w14:textId="77777777" w:rsidR="00F13AE8" w:rsidRPr="000F57AD" w:rsidRDefault="00F13AE8" w:rsidP="000F57AD">
            <w:pPr>
              <w:rPr>
                <w:rFonts w:ascii="Calibri" w:eastAsia="Calibri" w:hAnsi="Calibri"/>
                <w:sz w:val="22"/>
                <w:szCs w:val="22"/>
              </w:rPr>
            </w:pPr>
            <w:r>
              <w:rPr>
                <w:rFonts w:ascii="Calibri" w:eastAsia="Calibri" w:hAnsi="Calibri"/>
                <w:sz w:val="22"/>
                <w:szCs w:val="22"/>
              </w:rPr>
              <w:t>5</w:t>
            </w:r>
          </w:p>
        </w:tc>
        <w:tc>
          <w:tcPr>
            <w:tcW w:w="3190" w:type="dxa"/>
          </w:tcPr>
          <w:p w14:paraId="07CFBE0B" w14:textId="77777777" w:rsidR="00F13AE8" w:rsidRPr="000F57AD" w:rsidRDefault="00F13AE8" w:rsidP="000F57AD">
            <w:pPr>
              <w:rPr>
                <w:rFonts w:asciiTheme="minorHAnsi" w:eastAsia="Calibri" w:hAnsiTheme="minorHAnsi" w:cstheme="minorHAnsi"/>
                <w:b/>
              </w:rPr>
            </w:pPr>
            <w:r w:rsidRPr="000F57AD">
              <w:rPr>
                <w:rFonts w:asciiTheme="minorHAnsi" w:eastAsia="Calibri" w:hAnsiTheme="minorHAnsi" w:cstheme="minorHAnsi"/>
                <w:b/>
              </w:rPr>
              <w:t>Discrete Math</w:t>
            </w:r>
          </w:p>
        </w:tc>
        <w:tc>
          <w:tcPr>
            <w:tcW w:w="1418" w:type="dxa"/>
          </w:tcPr>
          <w:p w14:paraId="47BA70C8" w14:textId="77777777" w:rsidR="00F13AE8" w:rsidRPr="000F57AD" w:rsidRDefault="00F13AE8" w:rsidP="000F57AD">
            <w:pPr>
              <w:rPr>
                <w:rFonts w:asciiTheme="minorHAnsi" w:eastAsia="Calibri" w:hAnsiTheme="minorHAnsi" w:cstheme="minorHAnsi"/>
              </w:rPr>
            </w:pPr>
          </w:p>
        </w:tc>
        <w:tc>
          <w:tcPr>
            <w:tcW w:w="2272" w:type="dxa"/>
          </w:tcPr>
          <w:p w14:paraId="568578C1" w14:textId="77777777" w:rsidR="00F13AE8" w:rsidRPr="000F57AD" w:rsidRDefault="00114BF1" w:rsidP="000F57AD">
            <w:pPr>
              <w:rPr>
                <w:rFonts w:asciiTheme="minorHAnsi" w:eastAsia="Calibri" w:hAnsiTheme="minorHAnsi" w:cstheme="minorHAnsi"/>
              </w:rPr>
            </w:pPr>
            <w:r>
              <w:rPr>
                <w:rFonts w:asciiTheme="minorHAnsi" w:eastAsia="Calibri" w:hAnsiTheme="minorHAnsi" w:cstheme="minorHAnsi"/>
              </w:rPr>
              <w:t>X</w:t>
            </w:r>
          </w:p>
        </w:tc>
        <w:tc>
          <w:tcPr>
            <w:tcW w:w="2610" w:type="dxa"/>
          </w:tcPr>
          <w:p w14:paraId="5976649F" w14:textId="5DFC1755" w:rsidR="00F13AE8" w:rsidRPr="000F57AD" w:rsidRDefault="00F80722" w:rsidP="000F57AD">
            <w:pPr>
              <w:rPr>
                <w:rFonts w:asciiTheme="minorHAnsi" w:eastAsia="Calibri" w:hAnsiTheme="minorHAnsi" w:cstheme="minorHAnsi"/>
              </w:rPr>
            </w:pPr>
            <w:r>
              <w:rPr>
                <w:rFonts w:asciiTheme="minorHAnsi" w:eastAsia="Calibri" w:hAnsiTheme="minorHAnsi" w:cstheme="minorHAnsi"/>
              </w:rPr>
              <w:t xml:space="preserve">MAT </w:t>
            </w:r>
            <w:r w:rsidR="007600FE">
              <w:rPr>
                <w:rFonts w:asciiTheme="minorHAnsi" w:eastAsia="Calibri" w:hAnsiTheme="minorHAnsi" w:cstheme="minorHAnsi"/>
              </w:rPr>
              <w:t>2</w:t>
            </w:r>
            <w:r>
              <w:rPr>
                <w:rFonts w:asciiTheme="minorHAnsi" w:eastAsia="Calibri" w:hAnsiTheme="minorHAnsi" w:cstheme="minorHAnsi"/>
              </w:rPr>
              <w:t>227</w:t>
            </w:r>
          </w:p>
        </w:tc>
      </w:tr>
      <w:tr w:rsidR="00F13AE8" w:rsidRPr="000F57AD" w14:paraId="5E174C93" w14:textId="77777777" w:rsidTr="008B69C1">
        <w:trPr>
          <w:jc w:val="center"/>
        </w:trPr>
        <w:tc>
          <w:tcPr>
            <w:tcW w:w="675" w:type="dxa"/>
          </w:tcPr>
          <w:p w14:paraId="2AA845B9" w14:textId="77777777" w:rsidR="00F13AE8" w:rsidRPr="000F57AD" w:rsidRDefault="00F13AE8" w:rsidP="000F57AD">
            <w:pPr>
              <w:rPr>
                <w:rFonts w:ascii="Calibri" w:eastAsia="Calibri" w:hAnsi="Calibri"/>
                <w:sz w:val="22"/>
                <w:szCs w:val="22"/>
              </w:rPr>
            </w:pPr>
            <w:r>
              <w:rPr>
                <w:rFonts w:ascii="Calibri" w:eastAsia="Calibri" w:hAnsi="Calibri"/>
                <w:sz w:val="22"/>
                <w:szCs w:val="22"/>
              </w:rPr>
              <w:t>6</w:t>
            </w:r>
          </w:p>
        </w:tc>
        <w:tc>
          <w:tcPr>
            <w:tcW w:w="3190" w:type="dxa"/>
          </w:tcPr>
          <w:p w14:paraId="1487936A" w14:textId="77777777" w:rsidR="00F13AE8" w:rsidRPr="000F57AD" w:rsidRDefault="00F13AE8" w:rsidP="000F57AD">
            <w:pPr>
              <w:rPr>
                <w:rFonts w:asciiTheme="minorHAnsi" w:eastAsia="Calibri" w:hAnsiTheme="minorHAnsi" w:cstheme="minorHAnsi"/>
                <w:b/>
              </w:rPr>
            </w:pPr>
            <w:r w:rsidRPr="00530AE1">
              <w:rPr>
                <w:rFonts w:asciiTheme="minorHAnsi" w:eastAsia="Calibri" w:hAnsiTheme="minorHAnsi" w:cstheme="minorHAnsi"/>
                <w:b/>
              </w:rPr>
              <w:t>College Algebra/</w:t>
            </w:r>
            <w:r w:rsidRPr="000F57AD">
              <w:rPr>
                <w:rFonts w:asciiTheme="minorHAnsi" w:eastAsia="Calibri" w:hAnsiTheme="minorHAnsi" w:cstheme="minorHAnsi"/>
                <w:b/>
              </w:rPr>
              <w:t>Trigonometry</w:t>
            </w:r>
          </w:p>
        </w:tc>
        <w:tc>
          <w:tcPr>
            <w:tcW w:w="1418" w:type="dxa"/>
          </w:tcPr>
          <w:p w14:paraId="302F0EBE" w14:textId="77777777" w:rsidR="00F13AE8" w:rsidRPr="000F57AD" w:rsidRDefault="00F13AE8" w:rsidP="000F57AD">
            <w:pPr>
              <w:rPr>
                <w:rFonts w:asciiTheme="minorHAnsi" w:eastAsia="Calibri" w:hAnsiTheme="minorHAnsi" w:cstheme="minorHAnsi"/>
              </w:rPr>
            </w:pPr>
          </w:p>
        </w:tc>
        <w:tc>
          <w:tcPr>
            <w:tcW w:w="2272" w:type="dxa"/>
          </w:tcPr>
          <w:p w14:paraId="18556292" w14:textId="77777777" w:rsidR="00F13AE8" w:rsidRPr="000F57AD" w:rsidRDefault="00F13AE8" w:rsidP="000F57AD">
            <w:pPr>
              <w:rPr>
                <w:rFonts w:asciiTheme="minorHAnsi" w:eastAsia="Calibri" w:hAnsiTheme="minorHAnsi" w:cstheme="minorHAnsi"/>
              </w:rPr>
            </w:pPr>
            <w:r w:rsidRPr="000F57AD">
              <w:rPr>
                <w:rFonts w:asciiTheme="minorHAnsi" w:eastAsia="Calibri" w:hAnsiTheme="minorHAnsi" w:cstheme="minorHAnsi"/>
              </w:rPr>
              <w:t>X</w:t>
            </w:r>
          </w:p>
        </w:tc>
        <w:tc>
          <w:tcPr>
            <w:tcW w:w="2610" w:type="dxa"/>
          </w:tcPr>
          <w:p w14:paraId="1EB342D3" w14:textId="25E99A0C" w:rsidR="00F13AE8" w:rsidRPr="000F57AD" w:rsidRDefault="00770A15" w:rsidP="000F57AD">
            <w:pPr>
              <w:rPr>
                <w:rFonts w:asciiTheme="minorHAnsi" w:eastAsia="Calibri" w:hAnsiTheme="minorHAnsi" w:cstheme="minorHAnsi"/>
              </w:rPr>
            </w:pPr>
            <w:r>
              <w:rPr>
                <w:rFonts w:asciiTheme="minorHAnsi" w:eastAsia="Calibri" w:hAnsiTheme="minorHAnsi" w:cstheme="minorHAnsi"/>
              </w:rPr>
              <w:t>Varies by site</w:t>
            </w:r>
          </w:p>
        </w:tc>
      </w:tr>
      <w:tr w:rsidR="00F13AE8" w:rsidRPr="000F57AD" w14:paraId="62229C2D" w14:textId="77777777" w:rsidTr="008B69C1">
        <w:trPr>
          <w:jc w:val="center"/>
        </w:trPr>
        <w:tc>
          <w:tcPr>
            <w:tcW w:w="675" w:type="dxa"/>
          </w:tcPr>
          <w:p w14:paraId="3EE19EE2" w14:textId="77777777" w:rsidR="00F13AE8" w:rsidRPr="000F57AD" w:rsidRDefault="00F13AE8" w:rsidP="000F57AD">
            <w:pPr>
              <w:rPr>
                <w:rFonts w:ascii="Calibri" w:eastAsia="Calibri" w:hAnsi="Calibri"/>
                <w:sz w:val="22"/>
                <w:szCs w:val="22"/>
              </w:rPr>
            </w:pPr>
            <w:r>
              <w:rPr>
                <w:rFonts w:ascii="Calibri" w:eastAsia="Calibri" w:hAnsi="Calibri"/>
                <w:sz w:val="22"/>
                <w:szCs w:val="22"/>
              </w:rPr>
              <w:t>7</w:t>
            </w:r>
          </w:p>
        </w:tc>
        <w:tc>
          <w:tcPr>
            <w:tcW w:w="3190" w:type="dxa"/>
          </w:tcPr>
          <w:p w14:paraId="70992B20" w14:textId="77777777" w:rsidR="00F13AE8" w:rsidRPr="00530AE1" w:rsidRDefault="00F13AE8" w:rsidP="000F57AD">
            <w:pPr>
              <w:rPr>
                <w:rFonts w:asciiTheme="minorHAnsi" w:hAnsiTheme="minorHAnsi" w:cstheme="minorHAnsi"/>
                <w:b/>
              </w:rPr>
            </w:pPr>
            <w:r w:rsidRPr="00530AE1">
              <w:rPr>
                <w:rFonts w:asciiTheme="minorHAnsi" w:hAnsiTheme="minorHAnsi" w:cstheme="minorHAnsi"/>
                <w:b/>
              </w:rPr>
              <w:t>Statistics</w:t>
            </w:r>
          </w:p>
        </w:tc>
        <w:tc>
          <w:tcPr>
            <w:tcW w:w="1418" w:type="dxa"/>
          </w:tcPr>
          <w:p w14:paraId="3F186176" w14:textId="77777777" w:rsidR="00F13AE8" w:rsidRPr="000F57AD" w:rsidRDefault="00F13AE8" w:rsidP="000F57AD">
            <w:pPr>
              <w:rPr>
                <w:rFonts w:asciiTheme="minorHAnsi" w:hAnsiTheme="minorHAnsi" w:cstheme="minorHAnsi"/>
              </w:rPr>
            </w:pPr>
          </w:p>
        </w:tc>
        <w:tc>
          <w:tcPr>
            <w:tcW w:w="2272" w:type="dxa"/>
          </w:tcPr>
          <w:p w14:paraId="255FC901" w14:textId="77777777" w:rsidR="00F13AE8" w:rsidRPr="000F57AD" w:rsidRDefault="00F13AE8" w:rsidP="000F57AD">
            <w:pPr>
              <w:rPr>
                <w:rFonts w:asciiTheme="minorHAnsi" w:hAnsiTheme="minorHAnsi" w:cstheme="minorHAnsi"/>
              </w:rPr>
            </w:pPr>
            <w:r w:rsidRPr="000F57AD">
              <w:rPr>
                <w:rFonts w:asciiTheme="minorHAnsi" w:hAnsiTheme="minorHAnsi" w:cstheme="minorHAnsi"/>
              </w:rPr>
              <w:t>X</w:t>
            </w:r>
          </w:p>
        </w:tc>
        <w:tc>
          <w:tcPr>
            <w:tcW w:w="2610" w:type="dxa"/>
          </w:tcPr>
          <w:p w14:paraId="66AEFCBC" w14:textId="5DEBF44A" w:rsidR="00F13AE8" w:rsidRPr="000F57AD" w:rsidRDefault="007600FE" w:rsidP="000F57AD">
            <w:pPr>
              <w:rPr>
                <w:rFonts w:asciiTheme="minorHAnsi" w:hAnsiTheme="minorHAnsi" w:cstheme="minorHAnsi"/>
              </w:rPr>
            </w:pPr>
            <w:r>
              <w:rPr>
                <w:rFonts w:asciiTheme="minorHAnsi" w:hAnsiTheme="minorHAnsi" w:cstheme="minorHAnsi"/>
              </w:rPr>
              <w:t>Varies by site</w:t>
            </w:r>
          </w:p>
        </w:tc>
      </w:tr>
      <w:tr w:rsidR="00F13AE8" w:rsidRPr="000F57AD" w14:paraId="14FB525D" w14:textId="77777777" w:rsidTr="008B69C1">
        <w:trPr>
          <w:jc w:val="center"/>
        </w:trPr>
        <w:tc>
          <w:tcPr>
            <w:tcW w:w="675" w:type="dxa"/>
          </w:tcPr>
          <w:p w14:paraId="64CE490E" w14:textId="77777777" w:rsidR="00F13AE8" w:rsidRDefault="00F13AE8" w:rsidP="000F57AD">
            <w:pPr>
              <w:rPr>
                <w:rFonts w:ascii="Calibri" w:eastAsia="Calibri" w:hAnsi="Calibri"/>
                <w:sz w:val="22"/>
                <w:szCs w:val="22"/>
              </w:rPr>
            </w:pPr>
            <w:r>
              <w:rPr>
                <w:rFonts w:ascii="Calibri" w:eastAsia="Calibri" w:hAnsi="Calibri"/>
                <w:sz w:val="22"/>
                <w:szCs w:val="22"/>
              </w:rPr>
              <w:t>8</w:t>
            </w:r>
          </w:p>
        </w:tc>
        <w:tc>
          <w:tcPr>
            <w:tcW w:w="3190" w:type="dxa"/>
          </w:tcPr>
          <w:p w14:paraId="58D58EB4" w14:textId="77777777" w:rsidR="00F13AE8" w:rsidRPr="00114BF1" w:rsidRDefault="00F13AE8" w:rsidP="000F57AD">
            <w:pPr>
              <w:rPr>
                <w:rFonts w:asciiTheme="minorHAnsi" w:eastAsia="Calibri" w:hAnsiTheme="minorHAnsi" w:cstheme="minorHAnsi"/>
                <w:i/>
              </w:rPr>
            </w:pPr>
            <w:r w:rsidRPr="00114BF1">
              <w:rPr>
                <w:rFonts w:asciiTheme="minorHAnsi" w:eastAsia="Calibri" w:hAnsiTheme="minorHAnsi" w:cstheme="minorHAnsi"/>
                <w:i/>
              </w:rPr>
              <w:t>AP Calculus AB</w:t>
            </w:r>
          </w:p>
        </w:tc>
        <w:tc>
          <w:tcPr>
            <w:tcW w:w="1418" w:type="dxa"/>
          </w:tcPr>
          <w:p w14:paraId="13D06975" w14:textId="77777777" w:rsidR="00F13AE8"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272" w:type="dxa"/>
          </w:tcPr>
          <w:p w14:paraId="3D6A6DB8" w14:textId="77777777" w:rsidR="00F13AE8"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610" w:type="dxa"/>
          </w:tcPr>
          <w:p w14:paraId="36FFF8DF" w14:textId="0E7AA146" w:rsidR="00F13AE8" w:rsidRDefault="00600CFA" w:rsidP="000F57AD">
            <w:pPr>
              <w:rPr>
                <w:rFonts w:asciiTheme="minorHAnsi" w:eastAsia="Calibri" w:hAnsiTheme="minorHAnsi" w:cstheme="minorHAnsi"/>
              </w:rPr>
            </w:pPr>
            <w:r>
              <w:rPr>
                <w:rFonts w:asciiTheme="minorHAnsi" w:eastAsia="Calibri" w:hAnsiTheme="minorHAnsi" w:cstheme="minorHAnsi"/>
              </w:rPr>
              <w:t xml:space="preserve">MAT </w:t>
            </w:r>
            <w:r w:rsidR="007600FE">
              <w:rPr>
                <w:rFonts w:asciiTheme="minorHAnsi" w:eastAsia="Calibri" w:hAnsiTheme="minorHAnsi" w:cstheme="minorHAnsi"/>
              </w:rPr>
              <w:t>2</w:t>
            </w:r>
            <w:r>
              <w:rPr>
                <w:rFonts w:asciiTheme="minorHAnsi" w:eastAsia="Calibri" w:hAnsiTheme="minorHAnsi" w:cstheme="minorHAnsi"/>
              </w:rPr>
              <w:t>220</w:t>
            </w:r>
          </w:p>
        </w:tc>
      </w:tr>
      <w:tr w:rsidR="00F13AE8" w:rsidRPr="000F57AD" w14:paraId="19B923EA" w14:textId="77777777" w:rsidTr="008B69C1">
        <w:trPr>
          <w:jc w:val="center"/>
        </w:trPr>
        <w:tc>
          <w:tcPr>
            <w:tcW w:w="675" w:type="dxa"/>
          </w:tcPr>
          <w:p w14:paraId="08937AFA" w14:textId="77777777" w:rsidR="00F13AE8" w:rsidRPr="000F57AD" w:rsidRDefault="00F13AE8" w:rsidP="000F57AD">
            <w:pPr>
              <w:rPr>
                <w:rFonts w:ascii="Calibri" w:eastAsia="Calibri" w:hAnsi="Calibri"/>
                <w:sz w:val="22"/>
                <w:szCs w:val="22"/>
              </w:rPr>
            </w:pPr>
            <w:r>
              <w:rPr>
                <w:rFonts w:ascii="Calibri" w:eastAsia="Calibri" w:hAnsi="Calibri"/>
                <w:sz w:val="22"/>
                <w:szCs w:val="22"/>
              </w:rPr>
              <w:t>9</w:t>
            </w:r>
          </w:p>
        </w:tc>
        <w:tc>
          <w:tcPr>
            <w:tcW w:w="3190" w:type="dxa"/>
          </w:tcPr>
          <w:p w14:paraId="1CE17D59" w14:textId="77777777" w:rsidR="00F13AE8" w:rsidRPr="00114BF1" w:rsidRDefault="00F13AE8" w:rsidP="000F57AD">
            <w:pPr>
              <w:rPr>
                <w:rFonts w:asciiTheme="minorHAnsi" w:eastAsia="Calibri" w:hAnsiTheme="minorHAnsi" w:cstheme="minorHAnsi"/>
                <w:i/>
              </w:rPr>
            </w:pPr>
            <w:r w:rsidRPr="00114BF1">
              <w:rPr>
                <w:rFonts w:asciiTheme="minorHAnsi" w:eastAsia="Calibri" w:hAnsiTheme="minorHAnsi" w:cstheme="minorHAnsi"/>
                <w:i/>
              </w:rPr>
              <w:t>AP Calculus BC</w:t>
            </w:r>
          </w:p>
        </w:tc>
        <w:tc>
          <w:tcPr>
            <w:tcW w:w="1418" w:type="dxa"/>
          </w:tcPr>
          <w:p w14:paraId="11927F79" w14:textId="77777777" w:rsidR="00F13AE8" w:rsidRPr="000F57AD"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272" w:type="dxa"/>
          </w:tcPr>
          <w:p w14:paraId="3C310B04" w14:textId="77777777" w:rsidR="00F13AE8" w:rsidRPr="000F57AD"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610" w:type="dxa"/>
          </w:tcPr>
          <w:p w14:paraId="40806BEC" w14:textId="116CBBFA" w:rsidR="00F13AE8" w:rsidRDefault="007600FE" w:rsidP="000F57AD">
            <w:pPr>
              <w:rPr>
                <w:rFonts w:asciiTheme="minorHAnsi" w:eastAsia="Calibri" w:hAnsiTheme="minorHAnsi" w:cstheme="minorHAnsi"/>
              </w:rPr>
            </w:pPr>
            <w:r>
              <w:rPr>
                <w:rFonts w:asciiTheme="minorHAnsi" w:eastAsia="Calibri" w:hAnsiTheme="minorHAnsi" w:cstheme="minorHAnsi"/>
              </w:rPr>
              <w:t>MAT</w:t>
            </w:r>
            <w:r w:rsidR="00F80722">
              <w:rPr>
                <w:rFonts w:asciiTheme="minorHAnsi" w:eastAsia="Calibri" w:hAnsiTheme="minorHAnsi" w:cstheme="minorHAnsi"/>
              </w:rPr>
              <w:t xml:space="preserve"> </w:t>
            </w:r>
            <w:r>
              <w:rPr>
                <w:rFonts w:asciiTheme="minorHAnsi" w:eastAsia="Calibri" w:hAnsiTheme="minorHAnsi" w:cstheme="minorHAnsi"/>
              </w:rPr>
              <w:t>2230</w:t>
            </w:r>
          </w:p>
        </w:tc>
      </w:tr>
      <w:tr w:rsidR="00F13AE8" w:rsidRPr="000F57AD" w14:paraId="0756984D" w14:textId="77777777" w:rsidTr="008B69C1">
        <w:trPr>
          <w:jc w:val="center"/>
        </w:trPr>
        <w:tc>
          <w:tcPr>
            <w:tcW w:w="675" w:type="dxa"/>
          </w:tcPr>
          <w:p w14:paraId="6EA3800D" w14:textId="77777777" w:rsidR="00F13AE8" w:rsidRPr="000F57AD" w:rsidRDefault="00F13AE8" w:rsidP="000F57AD">
            <w:pPr>
              <w:rPr>
                <w:rFonts w:ascii="Calibri" w:eastAsia="Calibri" w:hAnsi="Calibri"/>
                <w:sz w:val="22"/>
                <w:szCs w:val="22"/>
              </w:rPr>
            </w:pPr>
            <w:r>
              <w:rPr>
                <w:rFonts w:ascii="Calibri" w:eastAsia="Calibri" w:hAnsi="Calibri"/>
                <w:sz w:val="22"/>
                <w:szCs w:val="22"/>
              </w:rPr>
              <w:t>10</w:t>
            </w:r>
          </w:p>
        </w:tc>
        <w:tc>
          <w:tcPr>
            <w:tcW w:w="3190" w:type="dxa"/>
          </w:tcPr>
          <w:p w14:paraId="11746DD5" w14:textId="77777777" w:rsidR="00F13AE8" w:rsidRPr="00114BF1" w:rsidRDefault="00F13AE8" w:rsidP="000F57AD">
            <w:pPr>
              <w:rPr>
                <w:rFonts w:asciiTheme="minorHAnsi" w:eastAsia="Calibri" w:hAnsiTheme="minorHAnsi" w:cstheme="minorHAnsi"/>
                <w:i/>
              </w:rPr>
            </w:pPr>
            <w:r w:rsidRPr="00114BF1">
              <w:rPr>
                <w:rFonts w:asciiTheme="minorHAnsi" w:eastAsia="Calibri" w:hAnsiTheme="minorHAnsi" w:cstheme="minorHAnsi"/>
                <w:i/>
              </w:rPr>
              <w:t>AP Computer Science</w:t>
            </w:r>
          </w:p>
        </w:tc>
        <w:tc>
          <w:tcPr>
            <w:tcW w:w="1418" w:type="dxa"/>
          </w:tcPr>
          <w:p w14:paraId="3AA648A4" w14:textId="77777777" w:rsidR="00F13AE8" w:rsidRPr="000F57AD" w:rsidRDefault="00F13AE8" w:rsidP="000F57AD">
            <w:pPr>
              <w:rPr>
                <w:rFonts w:asciiTheme="minorHAnsi" w:eastAsia="Calibri" w:hAnsiTheme="minorHAnsi" w:cstheme="minorHAnsi"/>
              </w:rPr>
            </w:pPr>
            <w:r w:rsidRPr="000F57AD">
              <w:rPr>
                <w:rFonts w:asciiTheme="minorHAnsi" w:eastAsia="Calibri" w:hAnsiTheme="minorHAnsi" w:cstheme="minorHAnsi"/>
              </w:rPr>
              <w:t>X</w:t>
            </w:r>
          </w:p>
        </w:tc>
        <w:tc>
          <w:tcPr>
            <w:tcW w:w="2272" w:type="dxa"/>
          </w:tcPr>
          <w:p w14:paraId="183D8144" w14:textId="77777777" w:rsidR="00F13AE8" w:rsidRPr="00F1533C" w:rsidRDefault="00F1533C" w:rsidP="00F1533C">
            <w:pPr>
              <w:jc w:val="center"/>
              <w:rPr>
                <w:rFonts w:asciiTheme="minorHAnsi" w:eastAsia="Calibri" w:hAnsiTheme="minorHAnsi" w:cstheme="minorHAnsi"/>
                <w:sz w:val="22"/>
                <w:szCs w:val="22"/>
              </w:rPr>
            </w:pPr>
            <w:r w:rsidRPr="00F1533C">
              <w:rPr>
                <w:rFonts w:asciiTheme="minorHAnsi" w:eastAsia="Calibri" w:hAnsiTheme="minorHAnsi" w:cstheme="minorHAnsi"/>
                <w:sz w:val="22"/>
                <w:szCs w:val="22"/>
              </w:rPr>
              <w:t xml:space="preserve">Not accepted by ABOR </w:t>
            </w:r>
            <w:r>
              <w:rPr>
                <w:rFonts w:asciiTheme="minorHAnsi" w:eastAsia="Calibri" w:hAnsiTheme="minorHAnsi" w:cstheme="minorHAnsi"/>
                <w:sz w:val="22"/>
                <w:szCs w:val="22"/>
              </w:rPr>
              <w:t>as</w:t>
            </w:r>
            <w:r w:rsidRPr="00F1533C">
              <w:rPr>
                <w:rFonts w:asciiTheme="minorHAnsi" w:eastAsia="Calibri" w:hAnsiTheme="minorHAnsi" w:cstheme="minorHAnsi"/>
                <w:sz w:val="22"/>
                <w:szCs w:val="22"/>
              </w:rPr>
              <w:t xml:space="preserve"> math credit</w:t>
            </w:r>
          </w:p>
        </w:tc>
        <w:tc>
          <w:tcPr>
            <w:tcW w:w="2610" w:type="dxa"/>
          </w:tcPr>
          <w:p w14:paraId="0A94BE56" w14:textId="73A05945" w:rsidR="00F13AE8" w:rsidRDefault="00F13AE8" w:rsidP="000F57AD">
            <w:pPr>
              <w:rPr>
                <w:rFonts w:asciiTheme="minorHAnsi" w:eastAsia="Calibri" w:hAnsiTheme="minorHAnsi" w:cstheme="minorHAnsi"/>
              </w:rPr>
            </w:pPr>
          </w:p>
        </w:tc>
      </w:tr>
      <w:tr w:rsidR="00F13AE8" w:rsidRPr="000F57AD" w14:paraId="706D8D19" w14:textId="77777777" w:rsidTr="008B69C1">
        <w:trPr>
          <w:jc w:val="center"/>
        </w:trPr>
        <w:tc>
          <w:tcPr>
            <w:tcW w:w="675" w:type="dxa"/>
          </w:tcPr>
          <w:p w14:paraId="201D7826" w14:textId="77777777" w:rsidR="00F13AE8" w:rsidRPr="000F57AD" w:rsidRDefault="00F13AE8" w:rsidP="000F57AD">
            <w:pPr>
              <w:rPr>
                <w:rFonts w:ascii="Calibri" w:eastAsia="Calibri" w:hAnsi="Calibri"/>
                <w:sz w:val="22"/>
                <w:szCs w:val="22"/>
              </w:rPr>
            </w:pPr>
            <w:r>
              <w:rPr>
                <w:rFonts w:ascii="Calibri" w:eastAsia="Calibri" w:hAnsi="Calibri"/>
                <w:sz w:val="22"/>
                <w:szCs w:val="22"/>
              </w:rPr>
              <w:t>11</w:t>
            </w:r>
          </w:p>
        </w:tc>
        <w:tc>
          <w:tcPr>
            <w:tcW w:w="3190" w:type="dxa"/>
          </w:tcPr>
          <w:p w14:paraId="259709CC" w14:textId="77777777" w:rsidR="00F13AE8" w:rsidRPr="00114BF1" w:rsidRDefault="00F13AE8" w:rsidP="000F57AD">
            <w:pPr>
              <w:rPr>
                <w:rFonts w:asciiTheme="minorHAnsi" w:eastAsia="Calibri" w:hAnsiTheme="minorHAnsi" w:cstheme="minorHAnsi"/>
                <w:i/>
              </w:rPr>
            </w:pPr>
            <w:r w:rsidRPr="00114BF1">
              <w:rPr>
                <w:rFonts w:asciiTheme="minorHAnsi" w:eastAsia="Calibri" w:hAnsiTheme="minorHAnsi" w:cstheme="minorHAnsi"/>
                <w:i/>
              </w:rPr>
              <w:t>AP Statistics</w:t>
            </w:r>
          </w:p>
        </w:tc>
        <w:tc>
          <w:tcPr>
            <w:tcW w:w="1418" w:type="dxa"/>
          </w:tcPr>
          <w:p w14:paraId="2E5F8F3B" w14:textId="77777777" w:rsidR="00F13AE8" w:rsidRPr="000F57AD"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272" w:type="dxa"/>
          </w:tcPr>
          <w:p w14:paraId="2306A626" w14:textId="77777777" w:rsidR="00F13AE8" w:rsidRPr="000F57AD" w:rsidRDefault="00F13AE8" w:rsidP="000F57AD">
            <w:pPr>
              <w:rPr>
                <w:rFonts w:asciiTheme="minorHAnsi" w:eastAsia="Calibri" w:hAnsiTheme="minorHAnsi" w:cstheme="minorHAnsi"/>
              </w:rPr>
            </w:pPr>
            <w:r>
              <w:rPr>
                <w:rFonts w:asciiTheme="minorHAnsi" w:eastAsia="Calibri" w:hAnsiTheme="minorHAnsi" w:cstheme="minorHAnsi"/>
              </w:rPr>
              <w:t>X</w:t>
            </w:r>
          </w:p>
        </w:tc>
        <w:tc>
          <w:tcPr>
            <w:tcW w:w="2610" w:type="dxa"/>
          </w:tcPr>
          <w:p w14:paraId="5120BFDE" w14:textId="40EDDCBC" w:rsidR="00F13AE8" w:rsidRDefault="007600FE" w:rsidP="000F57AD">
            <w:pPr>
              <w:rPr>
                <w:rFonts w:asciiTheme="minorHAnsi" w:eastAsia="Calibri" w:hAnsiTheme="minorHAnsi" w:cstheme="minorHAnsi"/>
              </w:rPr>
            </w:pPr>
            <w:r>
              <w:rPr>
                <w:rFonts w:asciiTheme="minorHAnsi" w:eastAsia="Calibri" w:hAnsiTheme="minorHAnsi" w:cstheme="minorHAnsi"/>
              </w:rPr>
              <w:t>Varies by site</w:t>
            </w:r>
          </w:p>
        </w:tc>
      </w:tr>
      <w:tr w:rsidR="00F13AE8" w:rsidRPr="000F57AD" w14:paraId="0DDC6CC4" w14:textId="77777777" w:rsidTr="008B69C1">
        <w:trPr>
          <w:jc w:val="center"/>
        </w:trPr>
        <w:tc>
          <w:tcPr>
            <w:tcW w:w="675" w:type="dxa"/>
          </w:tcPr>
          <w:p w14:paraId="35CAF60A" w14:textId="77777777" w:rsidR="00F13AE8" w:rsidRPr="000F57AD" w:rsidRDefault="00F13AE8" w:rsidP="000F57AD">
            <w:pPr>
              <w:rPr>
                <w:rFonts w:ascii="Calibri" w:eastAsia="Calibri" w:hAnsi="Calibri"/>
                <w:sz w:val="22"/>
                <w:szCs w:val="22"/>
              </w:rPr>
            </w:pPr>
            <w:r>
              <w:rPr>
                <w:rFonts w:ascii="Calibri" w:eastAsia="Calibri" w:hAnsi="Calibri"/>
                <w:sz w:val="22"/>
                <w:szCs w:val="22"/>
              </w:rPr>
              <w:t>12</w:t>
            </w:r>
          </w:p>
        </w:tc>
        <w:tc>
          <w:tcPr>
            <w:tcW w:w="3190" w:type="dxa"/>
          </w:tcPr>
          <w:p w14:paraId="464D9E25" w14:textId="77777777" w:rsidR="00F13AE8" w:rsidRPr="00114BF1" w:rsidRDefault="00114BF1" w:rsidP="000F57AD">
            <w:pPr>
              <w:rPr>
                <w:rFonts w:asciiTheme="minorHAnsi" w:hAnsiTheme="minorHAnsi" w:cstheme="minorHAnsi"/>
                <w:i/>
              </w:rPr>
            </w:pPr>
            <w:r w:rsidRPr="00114BF1">
              <w:rPr>
                <w:rFonts w:asciiTheme="minorHAnsi" w:hAnsiTheme="minorHAnsi" w:cstheme="minorHAnsi"/>
                <w:i/>
              </w:rPr>
              <w:t>International Baccalaureate</w:t>
            </w:r>
            <w:r w:rsidR="00F13AE8" w:rsidRPr="00114BF1">
              <w:rPr>
                <w:rFonts w:asciiTheme="minorHAnsi" w:hAnsiTheme="minorHAnsi" w:cstheme="minorHAnsi"/>
                <w:i/>
              </w:rPr>
              <w:t xml:space="preserve"> (IB) HL and SL</w:t>
            </w:r>
          </w:p>
        </w:tc>
        <w:tc>
          <w:tcPr>
            <w:tcW w:w="1418" w:type="dxa"/>
          </w:tcPr>
          <w:p w14:paraId="2AB8DA58" w14:textId="77777777" w:rsidR="00F13AE8" w:rsidRPr="000F57AD" w:rsidRDefault="00F13AE8" w:rsidP="000F57AD">
            <w:pPr>
              <w:rPr>
                <w:rFonts w:asciiTheme="minorHAnsi" w:hAnsiTheme="minorHAnsi" w:cstheme="minorHAnsi"/>
              </w:rPr>
            </w:pPr>
            <w:r w:rsidRPr="000F57AD">
              <w:rPr>
                <w:rFonts w:asciiTheme="minorHAnsi" w:hAnsiTheme="minorHAnsi" w:cstheme="minorHAnsi"/>
              </w:rPr>
              <w:t>X</w:t>
            </w:r>
          </w:p>
        </w:tc>
        <w:tc>
          <w:tcPr>
            <w:tcW w:w="2272" w:type="dxa"/>
          </w:tcPr>
          <w:p w14:paraId="109D20D6" w14:textId="77777777" w:rsidR="00F13AE8" w:rsidRPr="000F57AD" w:rsidRDefault="00F13AE8" w:rsidP="000F57AD">
            <w:pPr>
              <w:rPr>
                <w:rFonts w:asciiTheme="minorHAnsi" w:hAnsiTheme="minorHAnsi" w:cstheme="minorHAnsi"/>
              </w:rPr>
            </w:pPr>
            <w:r w:rsidRPr="000F57AD">
              <w:rPr>
                <w:rFonts w:asciiTheme="minorHAnsi" w:hAnsiTheme="minorHAnsi" w:cstheme="minorHAnsi"/>
              </w:rPr>
              <w:t>X</w:t>
            </w:r>
          </w:p>
        </w:tc>
        <w:tc>
          <w:tcPr>
            <w:tcW w:w="2610" w:type="dxa"/>
          </w:tcPr>
          <w:p w14:paraId="7701746D" w14:textId="557A7E63" w:rsidR="00F13AE8" w:rsidRPr="000F57AD" w:rsidRDefault="007600FE" w:rsidP="000F57AD">
            <w:pPr>
              <w:rPr>
                <w:rFonts w:asciiTheme="minorHAnsi" w:hAnsiTheme="minorHAnsi" w:cstheme="minorHAnsi"/>
              </w:rPr>
            </w:pPr>
            <w:r>
              <w:rPr>
                <w:rFonts w:asciiTheme="minorHAnsi" w:hAnsiTheme="minorHAnsi" w:cstheme="minorHAnsi"/>
              </w:rPr>
              <w:t>Varies by site</w:t>
            </w:r>
          </w:p>
        </w:tc>
      </w:tr>
      <w:tr w:rsidR="00F13AE8" w:rsidRPr="000F57AD" w14:paraId="5B648F30" w14:textId="77777777" w:rsidTr="008B69C1">
        <w:trPr>
          <w:trHeight w:val="70"/>
          <w:jc w:val="center"/>
        </w:trPr>
        <w:tc>
          <w:tcPr>
            <w:tcW w:w="675" w:type="dxa"/>
          </w:tcPr>
          <w:p w14:paraId="5C4555B9" w14:textId="77777777" w:rsidR="00F13AE8" w:rsidRPr="000F57AD" w:rsidRDefault="00F13AE8" w:rsidP="000F57AD">
            <w:pPr>
              <w:rPr>
                <w:rFonts w:ascii="Calibri" w:eastAsia="Calibri" w:hAnsi="Calibri"/>
                <w:sz w:val="22"/>
                <w:szCs w:val="22"/>
              </w:rPr>
            </w:pPr>
            <w:r>
              <w:rPr>
                <w:rFonts w:ascii="Calibri" w:eastAsia="Calibri" w:hAnsi="Calibri"/>
                <w:sz w:val="22"/>
                <w:szCs w:val="22"/>
              </w:rPr>
              <w:t>13</w:t>
            </w:r>
          </w:p>
        </w:tc>
        <w:tc>
          <w:tcPr>
            <w:tcW w:w="3190" w:type="dxa"/>
          </w:tcPr>
          <w:p w14:paraId="6AF66EB9" w14:textId="77777777" w:rsidR="00F13AE8" w:rsidRPr="00114BF1" w:rsidRDefault="00F13AE8" w:rsidP="000F57AD">
            <w:pPr>
              <w:rPr>
                <w:rFonts w:asciiTheme="minorHAnsi" w:hAnsiTheme="minorHAnsi" w:cstheme="minorHAnsi"/>
                <w:i/>
              </w:rPr>
            </w:pPr>
            <w:r w:rsidRPr="00114BF1">
              <w:rPr>
                <w:rFonts w:asciiTheme="minorHAnsi" w:hAnsiTheme="minorHAnsi" w:cstheme="minorHAnsi"/>
                <w:i/>
              </w:rPr>
              <w:t>Cambridge A Level</w:t>
            </w:r>
          </w:p>
        </w:tc>
        <w:tc>
          <w:tcPr>
            <w:tcW w:w="1418" w:type="dxa"/>
          </w:tcPr>
          <w:p w14:paraId="0B02AB38" w14:textId="77777777" w:rsidR="00F13AE8" w:rsidRPr="000F57AD" w:rsidRDefault="00F13AE8" w:rsidP="000F57AD">
            <w:pPr>
              <w:rPr>
                <w:rFonts w:asciiTheme="minorHAnsi" w:hAnsiTheme="minorHAnsi" w:cstheme="minorHAnsi"/>
              </w:rPr>
            </w:pPr>
            <w:r w:rsidRPr="000F57AD">
              <w:rPr>
                <w:rFonts w:asciiTheme="minorHAnsi" w:hAnsiTheme="minorHAnsi" w:cstheme="minorHAnsi"/>
              </w:rPr>
              <w:t>X</w:t>
            </w:r>
          </w:p>
        </w:tc>
        <w:tc>
          <w:tcPr>
            <w:tcW w:w="2272" w:type="dxa"/>
          </w:tcPr>
          <w:p w14:paraId="006F2823" w14:textId="77777777" w:rsidR="00F13AE8" w:rsidRPr="000F57AD" w:rsidRDefault="00F13AE8" w:rsidP="000F57AD">
            <w:pPr>
              <w:rPr>
                <w:rFonts w:asciiTheme="minorHAnsi" w:hAnsiTheme="minorHAnsi" w:cstheme="minorHAnsi"/>
              </w:rPr>
            </w:pPr>
            <w:r w:rsidRPr="000F57AD">
              <w:rPr>
                <w:rFonts w:asciiTheme="minorHAnsi" w:hAnsiTheme="minorHAnsi" w:cstheme="minorHAnsi"/>
              </w:rPr>
              <w:t>X</w:t>
            </w:r>
          </w:p>
        </w:tc>
        <w:tc>
          <w:tcPr>
            <w:tcW w:w="2610" w:type="dxa"/>
          </w:tcPr>
          <w:p w14:paraId="4363814F" w14:textId="19A00653" w:rsidR="00F13AE8" w:rsidRPr="000F57AD" w:rsidRDefault="007600FE" w:rsidP="000F57AD">
            <w:pPr>
              <w:rPr>
                <w:rFonts w:asciiTheme="minorHAnsi" w:hAnsiTheme="minorHAnsi" w:cstheme="minorHAnsi"/>
              </w:rPr>
            </w:pPr>
            <w:r>
              <w:rPr>
                <w:rFonts w:asciiTheme="minorHAnsi" w:hAnsiTheme="minorHAnsi" w:cstheme="minorHAnsi"/>
              </w:rPr>
              <w:t>Varies by site</w:t>
            </w:r>
          </w:p>
        </w:tc>
      </w:tr>
    </w:tbl>
    <w:p w14:paraId="3BD6016D" w14:textId="77777777" w:rsidR="00901C1D" w:rsidRDefault="00901C1D" w:rsidP="001F3155">
      <w:pPr>
        <w:jc w:val="center"/>
      </w:pPr>
    </w:p>
    <w:p w14:paraId="7F19FD06" w14:textId="77777777" w:rsidR="00E9769B" w:rsidRDefault="00C7690C" w:rsidP="000F57AD">
      <w:pPr>
        <w:rPr>
          <w:rFonts w:asciiTheme="minorHAnsi" w:hAnsiTheme="minorHAnsi" w:cstheme="minorHAnsi"/>
        </w:rPr>
      </w:pPr>
      <w:r w:rsidRPr="00C7690C">
        <w:rPr>
          <w:rFonts w:asciiTheme="minorHAnsi" w:hAnsiTheme="minorHAnsi" w:cstheme="minorHAnsi"/>
        </w:rPr>
        <w:t xml:space="preserve">Based on </w:t>
      </w:r>
      <w:r w:rsidR="00E9769B">
        <w:rPr>
          <w:rFonts w:asciiTheme="minorHAnsi" w:hAnsiTheme="minorHAnsi" w:cstheme="minorHAnsi"/>
        </w:rPr>
        <w:t xml:space="preserve">data, the AMC determined that </w:t>
      </w:r>
      <w:r>
        <w:rPr>
          <w:rFonts w:asciiTheme="minorHAnsi" w:hAnsiTheme="minorHAnsi" w:cstheme="minorHAnsi"/>
        </w:rPr>
        <w:t>all courses</w:t>
      </w:r>
      <w:r w:rsidR="00A973DE">
        <w:rPr>
          <w:rFonts w:asciiTheme="minorHAnsi" w:hAnsiTheme="minorHAnsi" w:cstheme="minorHAnsi"/>
        </w:rPr>
        <w:t xml:space="preserve"> and </w:t>
      </w:r>
      <w:r>
        <w:rPr>
          <w:rFonts w:asciiTheme="minorHAnsi" w:hAnsiTheme="minorHAnsi" w:cstheme="minorHAnsi"/>
        </w:rPr>
        <w:t>programs that are Advanced Placement in nature already had current standards and confirmed dual credit/enrollment</w:t>
      </w:r>
      <w:r w:rsidR="00A973DE">
        <w:rPr>
          <w:rFonts w:asciiTheme="minorHAnsi" w:hAnsiTheme="minorHAnsi" w:cstheme="minorHAnsi"/>
        </w:rPr>
        <w:t xml:space="preserve"> </w:t>
      </w:r>
      <w:r w:rsidR="00F13AE8">
        <w:rPr>
          <w:rFonts w:asciiTheme="minorHAnsi" w:hAnsiTheme="minorHAnsi" w:cstheme="minorHAnsi"/>
        </w:rPr>
        <w:t>opportunities</w:t>
      </w:r>
      <w:r w:rsidR="00A973DE">
        <w:rPr>
          <w:rFonts w:asciiTheme="minorHAnsi" w:hAnsiTheme="minorHAnsi" w:cstheme="minorHAnsi"/>
        </w:rPr>
        <w:t xml:space="preserve">.  </w:t>
      </w:r>
      <w:r w:rsidR="00F1533C">
        <w:rPr>
          <w:rFonts w:asciiTheme="minorHAnsi" w:hAnsiTheme="minorHAnsi" w:cstheme="minorHAnsi"/>
        </w:rPr>
        <w:t xml:space="preserve">The only course in question for math credit was AP Computer Science.  </w:t>
      </w:r>
      <w:r w:rsidR="00F1533C" w:rsidRPr="00F1533C">
        <w:rPr>
          <w:rFonts w:asciiTheme="minorHAnsi" w:hAnsiTheme="minorHAnsi" w:cstheme="minorHAnsi"/>
          <w:b/>
          <w:i/>
        </w:rPr>
        <w:t>Currently</w:t>
      </w:r>
      <w:r w:rsidR="00114BF1">
        <w:rPr>
          <w:rFonts w:asciiTheme="minorHAnsi" w:hAnsiTheme="minorHAnsi" w:cstheme="minorHAnsi"/>
          <w:b/>
          <w:i/>
        </w:rPr>
        <w:t>,</w:t>
      </w:r>
      <w:r w:rsidR="00F1533C" w:rsidRPr="00F1533C">
        <w:rPr>
          <w:rFonts w:asciiTheme="minorHAnsi" w:hAnsiTheme="minorHAnsi" w:cstheme="minorHAnsi"/>
          <w:b/>
          <w:i/>
        </w:rPr>
        <w:t xml:space="preserve"> the Arizona Board of Regents does not accept AP Computer Science as a math credit towards college admission.</w:t>
      </w:r>
    </w:p>
    <w:p w14:paraId="230CD381" w14:textId="77777777" w:rsidR="008B69C1" w:rsidRDefault="008B69C1" w:rsidP="008B69C1">
      <w:pPr>
        <w:shd w:val="clear" w:color="auto" w:fill="F7F7F7"/>
        <w:rPr>
          <w:rFonts w:asciiTheme="minorHAnsi" w:hAnsiTheme="minorHAnsi"/>
          <w:b/>
          <w:sz w:val="28"/>
          <w:szCs w:val="28"/>
        </w:rPr>
      </w:pPr>
      <w:r>
        <w:rPr>
          <w:rFonts w:asciiTheme="minorHAnsi" w:hAnsiTheme="minorHAnsi"/>
          <w:b/>
          <w:sz w:val="28"/>
          <w:szCs w:val="28"/>
        </w:rPr>
        <w:lastRenderedPageBreak/>
        <w:t>High School Course Pathways – Advanced Mathematics Committee Work</w:t>
      </w:r>
    </w:p>
    <w:p w14:paraId="3E1ACD50" w14:textId="77777777" w:rsidR="008B69C1" w:rsidRDefault="008B69C1" w:rsidP="000F57AD">
      <w:pPr>
        <w:rPr>
          <w:rFonts w:asciiTheme="minorHAnsi" w:hAnsiTheme="minorHAnsi" w:cstheme="minorHAnsi"/>
        </w:rPr>
      </w:pPr>
    </w:p>
    <w:p w14:paraId="25433A8D" w14:textId="48E97392" w:rsidR="00E9769B" w:rsidRDefault="00114BF1" w:rsidP="000F57AD">
      <w:pPr>
        <w:rPr>
          <w:rFonts w:asciiTheme="minorHAnsi" w:hAnsiTheme="minorHAnsi" w:cstheme="minorHAnsi"/>
        </w:rPr>
      </w:pPr>
      <w:r>
        <w:rPr>
          <w:rFonts w:asciiTheme="minorHAnsi" w:hAnsiTheme="minorHAnsi" w:cstheme="minorHAnsi"/>
        </w:rPr>
        <w:t xml:space="preserve">Data provided by the </w:t>
      </w:r>
      <w:r w:rsidR="00E9769B">
        <w:rPr>
          <w:rFonts w:asciiTheme="minorHAnsi" w:hAnsiTheme="minorHAnsi" w:cstheme="minorHAnsi"/>
        </w:rPr>
        <w:t xml:space="preserve">AMC members </w:t>
      </w:r>
      <w:r w:rsidR="00F1533C">
        <w:rPr>
          <w:rFonts w:asciiTheme="minorHAnsi" w:hAnsiTheme="minorHAnsi" w:cstheme="minorHAnsi"/>
        </w:rPr>
        <w:t xml:space="preserve">and </w:t>
      </w:r>
      <w:r w:rsidR="00E9769B">
        <w:rPr>
          <w:rFonts w:asciiTheme="minorHAnsi" w:hAnsiTheme="minorHAnsi" w:cstheme="minorHAnsi"/>
        </w:rPr>
        <w:t xml:space="preserve">from higher education </w:t>
      </w:r>
      <w:r>
        <w:rPr>
          <w:rFonts w:asciiTheme="minorHAnsi" w:hAnsiTheme="minorHAnsi" w:cstheme="minorHAnsi"/>
        </w:rPr>
        <w:t>e</w:t>
      </w:r>
      <w:r w:rsidR="007600FE">
        <w:rPr>
          <w:rFonts w:asciiTheme="minorHAnsi" w:hAnsiTheme="minorHAnsi" w:cstheme="minorHAnsi"/>
        </w:rPr>
        <w:t>stablished which current fourth-</w:t>
      </w:r>
      <w:r w:rsidR="00E9769B">
        <w:rPr>
          <w:rFonts w:asciiTheme="minorHAnsi" w:hAnsiTheme="minorHAnsi" w:cstheme="minorHAnsi"/>
        </w:rPr>
        <w:t xml:space="preserve">credit options had confirmed dual credit/enrollment </w:t>
      </w:r>
      <w:r w:rsidR="00F13AE8">
        <w:rPr>
          <w:rFonts w:asciiTheme="minorHAnsi" w:hAnsiTheme="minorHAnsi" w:cstheme="minorHAnsi"/>
        </w:rPr>
        <w:t>opportunities.</w:t>
      </w:r>
      <w:r w:rsidR="00E9769B">
        <w:rPr>
          <w:rFonts w:asciiTheme="minorHAnsi" w:hAnsiTheme="minorHAnsi" w:cstheme="minorHAnsi"/>
        </w:rPr>
        <w:t xml:space="preserve"> </w:t>
      </w:r>
      <w:r w:rsidR="00530AE1">
        <w:rPr>
          <w:rFonts w:asciiTheme="minorHAnsi" w:hAnsiTheme="minorHAnsi" w:cstheme="minorHAnsi"/>
        </w:rPr>
        <w:t xml:space="preserve"> Based on the dual credit/enrollment data, it was determined that there were 7 courses that LEA’s offered that would benefit from guidance and standards.</w:t>
      </w:r>
    </w:p>
    <w:p w14:paraId="1F29E773" w14:textId="77777777" w:rsidR="00530AE1" w:rsidRDefault="00530AE1" w:rsidP="000F57AD">
      <w:pPr>
        <w:rPr>
          <w:rFonts w:asciiTheme="minorHAnsi" w:hAnsiTheme="minorHAnsi" w:cstheme="minorHAnsi"/>
        </w:rPr>
      </w:pPr>
    </w:p>
    <w:tbl>
      <w:tblPr>
        <w:tblStyle w:val="TableGrid"/>
        <w:tblW w:w="6385" w:type="dxa"/>
        <w:jc w:val="center"/>
        <w:tblLayout w:type="fixed"/>
        <w:tblLook w:val="04A0" w:firstRow="1" w:lastRow="0" w:firstColumn="1" w:lastColumn="0" w:noHBand="0" w:noVBand="1"/>
      </w:tblPr>
      <w:tblGrid>
        <w:gridCol w:w="6385"/>
      </w:tblGrid>
      <w:tr w:rsidR="00530AE1" w:rsidRPr="000F57AD" w14:paraId="2A59F953" w14:textId="77777777" w:rsidTr="00530AE1">
        <w:trPr>
          <w:jc w:val="center"/>
        </w:trPr>
        <w:tc>
          <w:tcPr>
            <w:tcW w:w="6385" w:type="dxa"/>
          </w:tcPr>
          <w:p w14:paraId="25A0F168" w14:textId="77777777" w:rsidR="00530AE1" w:rsidRPr="000A3DD2" w:rsidRDefault="000A3DD2" w:rsidP="00530AE1">
            <w:pPr>
              <w:jc w:val="center"/>
              <w:rPr>
                <w:rFonts w:ascii="Calibri" w:eastAsia="Calibri" w:hAnsi="Calibri"/>
                <w:b/>
                <w:sz w:val="28"/>
                <w:szCs w:val="28"/>
              </w:rPr>
            </w:pPr>
            <w:r>
              <w:rPr>
                <w:rFonts w:ascii="Calibri" w:eastAsia="Calibri" w:hAnsi="Calibri"/>
                <w:b/>
                <w:sz w:val="28"/>
                <w:szCs w:val="28"/>
              </w:rPr>
              <w:t>Guidance and Standards</w:t>
            </w:r>
            <w:r w:rsidR="00530AE1" w:rsidRPr="000A3DD2">
              <w:rPr>
                <w:rFonts w:ascii="Calibri" w:eastAsia="Calibri" w:hAnsi="Calibri"/>
                <w:b/>
                <w:sz w:val="28"/>
                <w:szCs w:val="28"/>
              </w:rPr>
              <w:t xml:space="preserve"> </w:t>
            </w:r>
          </w:p>
        </w:tc>
      </w:tr>
      <w:tr w:rsidR="00530AE1" w:rsidRPr="000F57AD" w14:paraId="27841587" w14:textId="77777777" w:rsidTr="00530AE1">
        <w:trPr>
          <w:jc w:val="center"/>
        </w:trPr>
        <w:tc>
          <w:tcPr>
            <w:tcW w:w="6385" w:type="dxa"/>
          </w:tcPr>
          <w:p w14:paraId="58BEB71F" w14:textId="77777777" w:rsidR="00530AE1" w:rsidRPr="000A3DD2" w:rsidRDefault="00530AE1" w:rsidP="00530AE1">
            <w:pPr>
              <w:jc w:val="center"/>
              <w:rPr>
                <w:rFonts w:asciiTheme="minorHAnsi" w:eastAsia="Calibri" w:hAnsiTheme="minorHAnsi" w:cstheme="minorHAnsi"/>
                <w:b/>
              </w:rPr>
            </w:pPr>
            <w:r w:rsidRPr="000A3DD2">
              <w:rPr>
                <w:rFonts w:asciiTheme="minorHAnsi" w:eastAsia="Calibri" w:hAnsiTheme="minorHAnsi" w:cstheme="minorHAnsi"/>
                <w:b/>
              </w:rPr>
              <w:t>Precalculus</w:t>
            </w:r>
          </w:p>
        </w:tc>
      </w:tr>
      <w:tr w:rsidR="00530AE1" w:rsidRPr="000F57AD" w14:paraId="102A8146" w14:textId="77777777" w:rsidTr="00530AE1">
        <w:trPr>
          <w:jc w:val="center"/>
        </w:trPr>
        <w:tc>
          <w:tcPr>
            <w:tcW w:w="6385" w:type="dxa"/>
          </w:tcPr>
          <w:p w14:paraId="113A99C9" w14:textId="77777777" w:rsidR="00530AE1" w:rsidRPr="008D197A" w:rsidRDefault="00530AE1" w:rsidP="00530AE1">
            <w:pPr>
              <w:jc w:val="center"/>
              <w:rPr>
                <w:rFonts w:asciiTheme="minorHAnsi" w:eastAsia="Calibri" w:hAnsiTheme="minorHAnsi" w:cstheme="minorHAnsi"/>
              </w:rPr>
            </w:pPr>
            <w:r w:rsidRPr="008D197A">
              <w:rPr>
                <w:rFonts w:asciiTheme="minorHAnsi" w:eastAsia="Calibri" w:hAnsiTheme="minorHAnsi" w:cstheme="minorHAnsi"/>
              </w:rPr>
              <w:t>College Algebra</w:t>
            </w:r>
          </w:p>
        </w:tc>
      </w:tr>
      <w:tr w:rsidR="00530AE1" w:rsidRPr="000F57AD" w14:paraId="36E7DCFA" w14:textId="77777777" w:rsidTr="00530AE1">
        <w:trPr>
          <w:jc w:val="center"/>
        </w:trPr>
        <w:tc>
          <w:tcPr>
            <w:tcW w:w="6385" w:type="dxa"/>
          </w:tcPr>
          <w:p w14:paraId="49AE1852" w14:textId="77777777" w:rsidR="00530AE1" w:rsidRPr="008D197A" w:rsidRDefault="00530AE1" w:rsidP="00530AE1">
            <w:pPr>
              <w:jc w:val="center"/>
              <w:rPr>
                <w:rFonts w:asciiTheme="minorHAnsi" w:eastAsia="Calibri" w:hAnsiTheme="minorHAnsi" w:cstheme="minorHAnsi"/>
              </w:rPr>
            </w:pPr>
            <w:r w:rsidRPr="008D197A">
              <w:rPr>
                <w:rFonts w:asciiTheme="minorHAnsi" w:eastAsia="Calibri" w:hAnsiTheme="minorHAnsi" w:cstheme="minorHAnsi"/>
              </w:rPr>
              <w:t>College Math</w:t>
            </w:r>
          </w:p>
        </w:tc>
      </w:tr>
      <w:tr w:rsidR="00530AE1" w:rsidRPr="00530AE1" w14:paraId="62184D50" w14:textId="77777777" w:rsidTr="00530AE1">
        <w:trPr>
          <w:jc w:val="center"/>
        </w:trPr>
        <w:tc>
          <w:tcPr>
            <w:tcW w:w="6385" w:type="dxa"/>
          </w:tcPr>
          <w:p w14:paraId="78153ED4" w14:textId="77777777" w:rsidR="00530AE1" w:rsidRPr="000A3DD2" w:rsidRDefault="00530AE1" w:rsidP="00530AE1">
            <w:pPr>
              <w:jc w:val="center"/>
              <w:rPr>
                <w:rFonts w:asciiTheme="minorHAnsi" w:eastAsia="Calibri" w:hAnsiTheme="minorHAnsi" w:cstheme="minorHAnsi"/>
                <w:b/>
              </w:rPr>
            </w:pPr>
            <w:r w:rsidRPr="000A3DD2">
              <w:rPr>
                <w:rFonts w:asciiTheme="minorHAnsi" w:eastAsia="Calibri" w:hAnsiTheme="minorHAnsi" w:cstheme="minorHAnsi"/>
                <w:b/>
              </w:rPr>
              <w:t>Quantitative Reasoning</w:t>
            </w:r>
          </w:p>
        </w:tc>
      </w:tr>
      <w:tr w:rsidR="00530AE1" w:rsidRPr="000F57AD" w14:paraId="10EE68A8" w14:textId="77777777" w:rsidTr="00530AE1">
        <w:trPr>
          <w:jc w:val="center"/>
        </w:trPr>
        <w:tc>
          <w:tcPr>
            <w:tcW w:w="6385" w:type="dxa"/>
          </w:tcPr>
          <w:p w14:paraId="595AF178" w14:textId="77777777" w:rsidR="00530AE1" w:rsidRPr="008D197A" w:rsidRDefault="00530AE1" w:rsidP="00530AE1">
            <w:pPr>
              <w:jc w:val="center"/>
              <w:rPr>
                <w:rFonts w:asciiTheme="minorHAnsi" w:eastAsia="Calibri" w:hAnsiTheme="minorHAnsi" w:cstheme="minorHAnsi"/>
              </w:rPr>
            </w:pPr>
            <w:r w:rsidRPr="008D197A">
              <w:rPr>
                <w:rFonts w:asciiTheme="minorHAnsi" w:eastAsia="Calibri" w:hAnsiTheme="minorHAnsi" w:cstheme="minorHAnsi"/>
              </w:rPr>
              <w:t>Discrete Math</w:t>
            </w:r>
          </w:p>
        </w:tc>
      </w:tr>
      <w:tr w:rsidR="00530AE1" w:rsidRPr="000F57AD" w14:paraId="7C511DF3" w14:textId="77777777" w:rsidTr="00530AE1">
        <w:trPr>
          <w:trHeight w:val="70"/>
          <w:jc w:val="center"/>
        </w:trPr>
        <w:tc>
          <w:tcPr>
            <w:tcW w:w="6385" w:type="dxa"/>
          </w:tcPr>
          <w:p w14:paraId="2531A344" w14:textId="77777777" w:rsidR="00530AE1" w:rsidRPr="008D197A" w:rsidRDefault="00530AE1" w:rsidP="00530AE1">
            <w:pPr>
              <w:jc w:val="center"/>
              <w:rPr>
                <w:rFonts w:asciiTheme="minorHAnsi" w:eastAsia="Calibri" w:hAnsiTheme="minorHAnsi" w:cstheme="minorHAnsi"/>
              </w:rPr>
            </w:pPr>
            <w:r w:rsidRPr="008D197A">
              <w:rPr>
                <w:rFonts w:asciiTheme="minorHAnsi" w:eastAsia="Calibri" w:hAnsiTheme="minorHAnsi" w:cstheme="minorHAnsi"/>
              </w:rPr>
              <w:t>College Algebra/Trigonometry</w:t>
            </w:r>
          </w:p>
        </w:tc>
      </w:tr>
    </w:tbl>
    <w:p w14:paraId="4EF6E099" w14:textId="77777777" w:rsidR="00530AE1" w:rsidRDefault="00530AE1" w:rsidP="000F57AD">
      <w:pPr>
        <w:rPr>
          <w:rFonts w:asciiTheme="minorHAnsi" w:hAnsiTheme="minorHAnsi" w:cstheme="minorHAnsi"/>
        </w:rPr>
      </w:pPr>
    </w:p>
    <w:p w14:paraId="70132805" w14:textId="6F562A3A" w:rsidR="00530AE1" w:rsidRDefault="00C04601" w:rsidP="000F57AD">
      <w:pPr>
        <w:rPr>
          <w:rFonts w:asciiTheme="minorHAnsi" w:hAnsiTheme="minorHAnsi" w:cstheme="minorHAnsi"/>
        </w:rPr>
      </w:pPr>
      <w:r>
        <w:rPr>
          <w:rFonts w:asciiTheme="minorHAnsi" w:hAnsiTheme="minorHAnsi" w:cstheme="minorHAnsi"/>
        </w:rPr>
        <w:t xml:space="preserve">The </w:t>
      </w:r>
      <w:r w:rsidR="004426A1">
        <w:rPr>
          <w:rFonts w:asciiTheme="minorHAnsi" w:hAnsiTheme="minorHAnsi" w:cstheme="minorHAnsi"/>
        </w:rPr>
        <w:t>AMC</w:t>
      </w:r>
      <w:r w:rsidR="00114BF1">
        <w:rPr>
          <w:rFonts w:asciiTheme="minorHAnsi" w:hAnsiTheme="minorHAnsi" w:cstheme="minorHAnsi"/>
        </w:rPr>
        <w:t xml:space="preserve"> </w:t>
      </w:r>
      <w:r w:rsidR="007600FE">
        <w:rPr>
          <w:rFonts w:asciiTheme="minorHAnsi" w:hAnsiTheme="minorHAnsi" w:cstheme="minorHAnsi"/>
        </w:rPr>
        <w:t>analyzed the most common fourth-</w:t>
      </w:r>
      <w:r>
        <w:rPr>
          <w:rFonts w:asciiTheme="minorHAnsi" w:hAnsiTheme="minorHAnsi" w:cstheme="minorHAnsi"/>
        </w:rPr>
        <w:t>credit courses and the articulation to higher education and career training to determine the focus of their work on guidance related to course standards.  Their rationale is listed below.</w:t>
      </w:r>
    </w:p>
    <w:p w14:paraId="29F32AE0" w14:textId="77777777" w:rsidR="00530AE1" w:rsidRDefault="00530AE1" w:rsidP="00530AE1">
      <w:pPr>
        <w:jc w:val="center"/>
        <w:rPr>
          <w:rFonts w:asciiTheme="minorHAnsi" w:hAnsiTheme="minorHAnsi" w:cstheme="minorHAnsi"/>
        </w:rPr>
      </w:pPr>
    </w:p>
    <w:p w14:paraId="70C08BF1" w14:textId="1D7560EF" w:rsidR="00530AE1" w:rsidRDefault="007600FE" w:rsidP="00530AE1">
      <w:pPr>
        <w:jc w:val="center"/>
        <w:rPr>
          <w:rFonts w:asciiTheme="minorHAnsi" w:hAnsiTheme="minorHAnsi" w:cstheme="minorHAnsi"/>
          <w:b/>
        </w:rPr>
      </w:pPr>
      <w:r>
        <w:rPr>
          <w:rFonts w:asciiTheme="minorHAnsi" w:hAnsiTheme="minorHAnsi" w:cstheme="minorHAnsi"/>
          <w:b/>
        </w:rPr>
        <w:t>College Algebra –Algebra 2</w:t>
      </w:r>
      <w:r w:rsidR="00530AE1" w:rsidRPr="00530AE1">
        <w:rPr>
          <w:rFonts w:asciiTheme="minorHAnsi" w:hAnsiTheme="minorHAnsi" w:cstheme="minorHAnsi"/>
          <w:b/>
        </w:rPr>
        <w:t xml:space="preserve"> Comparison</w:t>
      </w:r>
    </w:p>
    <w:p w14:paraId="25C5A213" w14:textId="525A31F9" w:rsidR="00530AE1" w:rsidRDefault="00530AE1" w:rsidP="00530AE1">
      <w:pPr>
        <w:rPr>
          <w:rFonts w:asciiTheme="minorHAnsi" w:hAnsiTheme="minorHAnsi" w:cstheme="minorHAnsi"/>
        </w:rPr>
      </w:pPr>
      <w:r>
        <w:rPr>
          <w:rFonts w:asciiTheme="minorHAnsi" w:hAnsiTheme="minorHAnsi" w:cstheme="minorHAnsi"/>
        </w:rPr>
        <w:t>An analysis of the higher education Co</w:t>
      </w:r>
      <w:r w:rsidR="00F1533C">
        <w:rPr>
          <w:rFonts w:asciiTheme="minorHAnsi" w:hAnsiTheme="minorHAnsi" w:cstheme="minorHAnsi"/>
        </w:rPr>
        <w:t>llege Algebra syllabus</w:t>
      </w:r>
      <w:r>
        <w:rPr>
          <w:rFonts w:asciiTheme="minorHAnsi" w:hAnsiTheme="minorHAnsi" w:cstheme="minorHAnsi"/>
        </w:rPr>
        <w:t xml:space="preserve"> to the Arizona Math</w:t>
      </w:r>
      <w:r w:rsidR="007600FE">
        <w:rPr>
          <w:rFonts w:asciiTheme="minorHAnsi" w:hAnsiTheme="minorHAnsi" w:cstheme="minorHAnsi"/>
        </w:rPr>
        <w:t>ematics Standards for Algebra 2</w:t>
      </w:r>
      <w:r>
        <w:rPr>
          <w:rFonts w:asciiTheme="minorHAnsi" w:hAnsiTheme="minorHAnsi" w:cstheme="minorHAnsi"/>
        </w:rPr>
        <w:t xml:space="preserve"> </w:t>
      </w:r>
      <w:r w:rsidR="00F1533C">
        <w:rPr>
          <w:rFonts w:asciiTheme="minorHAnsi" w:hAnsiTheme="minorHAnsi" w:cstheme="minorHAnsi"/>
        </w:rPr>
        <w:t xml:space="preserve">adopted in 2016 </w:t>
      </w:r>
      <w:r>
        <w:rPr>
          <w:rFonts w:asciiTheme="minorHAnsi" w:hAnsiTheme="minorHAnsi" w:cstheme="minorHAnsi"/>
        </w:rPr>
        <w:t xml:space="preserve">provided </w:t>
      </w:r>
      <w:r w:rsidR="007600FE">
        <w:rPr>
          <w:rFonts w:asciiTheme="minorHAnsi" w:hAnsiTheme="minorHAnsi" w:cstheme="minorHAnsi"/>
        </w:rPr>
        <w:t>data that the current Algebra 2</w:t>
      </w:r>
      <w:r>
        <w:rPr>
          <w:rFonts w:asciiTheme="minorHAnsi" w:hAnsiTheme="minorHAnsi" w:cstheme="minorHAnsi"/>
        </w:rPr>
        <w:t xml:space="preserve"> high school course was more rigorous in standards than the</w:t>
      </w:r>
      <w:r w:rsidR="00114BF1">
        <w:rPr>
          <w:rFonts w:asciiTheme="minorHAnsi" w:hAnsiTheme="minorHAnsi" w:cstheme="minorHAnsi"/>
        </w:rPr>
        <w:t xml:space="preserve"> current College Algebra syllabus</w:t>
      </w:r>
      <w:r>
        <w:rPr>
          <w:rFonts w:asciiTheme="minorHAnsi" w:hAnsiTheme="minorHAnsi" w:cstheme="minorHAnsi"/>
        </w:rPr>
        <w:t xml:space="preserve">.  </w:t>
      </w:r>
      <w:r w:rsidR="00F1533C">
        <w:rPr>
          <w:rFonts w:asciiTheme="minorHAnsi" w:hAnsiTheme="minorHAnsi" w:cstheme="minorHAnsi"/>
        </w:rPr>
        <w:t>A second piece of data that was critical concerning some of the higher education systems was the knowledge that College Algebra</w:t>
      </w:r>
      <w:r w:rsidR="00114BF1">
        <w:rPr>
          <w:rFonts w:asciiTheme="minorHAnsi" w:hAnsiTheme="minorHAnsi" w:cstheme="minorHAnsi"/>
        </w:rPr>
        <w:t>,</w:t>
      </w:r>
      <w:r w:rsidR="00F1533C">
        <w:rPr>
          <w:rFonts w:asciiTheme="minorHAnsi" w:hAnsiTheme="minorHAnsi" w:cstheme="minorHAnsi"/>
        </w:rPr>
        <w:t xml:space="preserve"> in some higher education systems</w:t>
      </w:r>
      <w:r w:rsidR="00114BF1">
        <w:rPr>
          <w:rFonts w:asciiTheme="minorHAnsi" w:hAnsiTheme="minorHAnsi" w:cstheme="minorHAnsi"/>
        </w:rPr>
        <w:t>,</w:t>
      </w:r>
      <w:r w:rsidR="00F1533C">
        <w:rPr>
          <w:rFonts w:asciiTheme="minorHAnsi" w:hAnsiTheme="minorHAnsi" w:cstheme="minorHAnsi"/>
        </w:rPr>
        <w:t xml:space="preserve"> does not count as </w:t>
      </w:r>
      <w:r w:rsidR="00114BF1">
        <w:rPr>
          <w:rFonts w:asciiTheme="minorHAnsi" w:hAnsiTheme="minorHAnsi" w:cstheme="minorHAnsi"/>
        </w:rPr>
        <w:t>a math credit if you are entering</w:t>
      </w:r>
      <w:r w:rsidR="00F1533C">
        <w:rPr>
          <w:rFonts w:asciiTheme="minorHAnsi" w:hAnsiTheme="minorHAnsi" w:cstheme="minorHAnsi"/>
        </w:rPr>
        <w:t xml:space="preserve"> a Bachelor of Science program. College Algebra, even with dual credit, would only count as an elective if you are in a Bachelor of Science program</w:t>
      </w:r>
      <w:r w:rsidR="00114BF1">
        <w:rPr>
          <w:rFonts w:asciiTheme="minorHAnsi" w:hAnsiTheme="minorHAnsi" w:cstheme="minorHAnsi"/>
        </w:rPr>
        <w:t>,</w:t>
      </w:r>
      <w:r w:rsidR="00F1533C">
        <w:rPr>
          <w:rFonts w:asciiTheme="minorHAnsi" w:hAnsiTheme="minorHAnsi" w:cstheme="minorHAnsi"/>
        </w:rPr>
        <w:t xml:space="preserve"> with the first math credit that is accepted being Calculus. These pieces of information discouraged the committee from creating guidance standards for College Algebra.</w:t>
      </w:r>
    </w:p>
    <w:p w14:paraId="29E780C1" w14:textId="77777777" w:rsidR="008D197A" w:rsidRDefault="008D197A" w:rsidP="008D197A">
      <w:pPr>
        <w:jc w:val="center"/>
        <w:rPr>
          <w:rFonts w:asciiTheme="minorHAnsi" w:hAnsiTheme="minorHAnsi" w:cstheme="minorHAnsi"/>
          <w:b/>
        </w:rPr>
      </w:pPr>
      <w:r w:rsidRPr="008D197A">
        <w:rPr>
          <w:rFonts w:asciiTheme="minorHAnsi" w:hAnsiTheme="minorHAnsi" w:cstheme="minorHAnsi"/>
          <w:b/>
        </w:rPr>
        <w:t>College Algebra/Trigonometry</w:t>
      </w:r>
    </w:p>
    <w:p w14:paraId="31433B63" w14:textId="77777777" w:rsidR="008D197A" w:rsidRDefault="008D197A" w:rsidP="008D197A">
      <w:pPr>
        <w:rPr>
          <w:rFonts w:asciiTheme="minorHAnsi" w:hAnsiTheme="minorHAnsi" w:cstheme="minorHAnsi"/>
        </w:rPr>
      </w:pPr>
      <w:r>
        <w:rPr>
          <w:rFonts w:asciiTheme="minorHAnsi" w:hAnsiTheme="minorHAnsi" w:cstheme="minorHAnsi"/>
        </w:rPr>
        <w:t xml:space="preserve">This course had multiple course titles and did not have a consistent </w:t>
      </w:r>
      <w:r w:rsidR="009542CF">
        <w:rPr>
          <w:rFonts w:asciiTheme="minorHAnsi" w:hAnsiTheme="minorHAnsi" w:cstheme="minorHAnsi"/>
        </w:rPr>
        <w:t>set of standards or syllabus</w:t>
      </w:r>
      <w:r>
        <w:rPr>
          <w:rFonts w:asciiTheme="minorHAnsi" w:hAnsiTheme="minorHAnsi" w:cstheme="minorHAnsi"/>
        </w:rPr>
        <w:t xml:space="preserve">.  In most high school systems, this course is two different semester courses.  It was decided that this would not be a starting place for guidance development.  </w:t>
      </w:r>
    </w:p>
    <w:p w14:paraId="7B4A258B" w14:textId="77777777" w:rsidR="00F1533C" w:rsidRPr="00530AE1" w:rsidRDefault="00F1533C" w:rsidP="00530AE1">
      <w:pPr>
        <w:rPr>
          <w:rFonts w:asciiTheme="minorHAnsi" w:hAnsiTheme="minorHAnsi" w:cstheme="minorHAnsi"/>
        </w:rPr>
      </w:pPr>
    </w:p>
    <w:p w14:paraId="668F4ADE" w14:textId="77777777" w:rsidR="008B69C1" w:rsidRDefault="008B69C1" w:rsidP="00F1533C">
      <w:pPr>
        <w:jc w:val="center"/>
        <w:rPr>
          <w:rFonts w:asciiTheme="minorHAnsi" w:hAnsiTheme="minorHAnsi" w:cstheme="minorHAnsi"/>
          <w:b/>
        </w:rPr>
      </w:pPr>
    </w:p>
    <w:p w14:paraId="22380CC7" w14:textId="77777777" w:rsidR="009542CF" w:rsidRDefault="009542CF" w:rsidP="00F1533C">
      <w:pPr>
        <w:jc w:val="center"/>
        <w:rPr>
          <w:rFonts w:asciiTheme="minorHAnsi" w:hAnsiTheme="minorHAnsi" w:cstheme="minorHAnsi"/>
          <w:b/>
        </w:rPr>
      </w:pPr>
    </w:p>
    <w:p w14:paraId="5B4EF7DF" w14:textId="77777777" w:rsidR="00F1533C" w:rsidRDefault="00F1533C" w:rsidP="00F1533C">
      <w:pPr>
        <w:jc w:val="center"/>
        <w:rPr>
          <w:rFonts w:asciiTheme="minorHAnsi" w:hAnsiTheme="minorHAnsi" w:cstheme="minorHAnsi"/>
          <w:b/>
        </w:rPr>
      </w:pPr>
      <w:r>
        <w:rPr>
          <w:rFonts w:asciiTheme="minorHAnsi" w:hAnsiTheme="minorHAnsi" w:cstheme="minorHAnsi"/>
          <w:b/>
        </w:rPr>
        <w:lastRenderedPageBreak/>
        <w:t>College Math</w:t>
      </w:r>
      <w:r w:rsidRPr="00530AE1">
        <w:rPr>
          <w:rFonts w:asciiTheme="minorHAnsi" w:hAnsiTheme="minorHAnsi" w:cstheme="minorHAnsi"/>
          <w:b/>
        </w:rPr>
        <w:t xml:space="preserve"> –</w:t>
      </w:r>
      <w:r>
        <w:rPr>
          <w:rFonts w:asciiTheme="minorHAnsi" w:hAnsiTheme="minorHAnsi" w:cstheme="minorHAnsi"/>
          <w:b/>
        </w:rPr>
        <w:t>Quantitative Reasoning</w:t>
      </w:r>
      <w:r w:rsidR="000A3DD2">
        <w:rPr>
          <w:rFonts w:asciiTheme="minorHAnsi" w:hAnsiTheme="minorHAnsi" w:cstheme="minorHAnsi"/>
          <w:b/>
        </w:rPr>
        <w:t xml:space="preserve"> Comparison</w:t>
      </w:r>
    </w:p>
    <w:p w14:paraId="7F880E15" w14:textId="39EF3332" w:rsidR="00F1533C" w:rsidRDefault="00F1533C" w:rsidP="00F1533C">
      <w:pPr>
        <w:rPr>
          <w:rFonts w:asciiTheme="minorHAnsi" w:hAnsiTheme="minorHAnsi" w:cstheme="minorHAnsi"/>
        </w:rPr>
      </w:pPr>
      <w:r>
        <w:rPr>
          <w:rFonts w:asciiTheme="minorHAnsi" w:hAnsiTheme="minorHAnsi" w:cstheme="minorHAnsi"/>
        </w:rPr>
        <w:t>Through review of course syllabi from different institutes of higher education in Arizona, it was determined that Quantitative Reasoning</w:t>
      </w:r>
      <w:r w:rsidR="007600FE">
        <w:rPr>
          <w:rFonts w:asciiTheme="minorHAnsi" w:hAnsiTheme="minorHAnsi" w:cstheme="minorHAnsi"/>
        </w:rPr>
        <w:t xml:space="preserve"> </w:t>
      </w:r>
      <w:r w:rsidR="008B69C1">
        <w:rPr>
          <w:rFonts w:asciiTheme="minorHAnsi" w:hAnsiTheme="minorHAnsi" w:cstheme="minorHAnsi"/>
        </w:rPr>
        <w:t xml:space="preserve">(QR) </w:t>
      </w:r>
      <w:r>
        <w:rPr>
          <w:rFonts w:asciiTheme="minorHAnsi" w:hAnsiTheme="minorHAnsi" w:cstheme="minorHAnsi"/>
        </w:rPr>
        <w:t xml:space="preserve">and College Math </w:t>
      </w:r>
      <w:r w:rsidR="008D197A">
        <w:rPr>
          <w:rFonts w:asciiTheme="minorHAnsi" w:hAnsiTheme="minorHAnsi" w:cstheme="minorHAnsi"/>
        </w:rPr>
        <w:t>aligned very closely.  This analysis supported the creation of guidance for Quantitative Reasoning.</w:t>
      </w:r>
      <w:r w:rsidR="008B69C1">
        <w:rPr>
          <w:rFonts w:asciiTheme="minorHAnsi" w:hAnsiTheme="minorHAnsi" w:cstheme="minorHAnsi"/>
        </w:rPr>
        <w:t xml:space="preserve"> For students entering higher education in a Bachelor of Arts program, College Math was predom</w:t>
      </w:r>
      <w:r w:rsidR="009542CF">
        <w:rPr>
          <w:rFonts w:asciiTheme="minorHAnsi" w:hAnsiTheme="minorHAnsi" w:cstheme="minorHAnsi"/>
        </w:rPr>
        <w:t>inately an initial math credit</w:t>
      </w:r>
      <w:r w:rsidR="008B69C1">
        <w:rPr>
          <w:rFonts w:asciiTheme="minorHAnsi" w:hAnsiTheme="minorHAnsi" w:cstheme="minorHAnsi"/>
        </w:rPr>
        <w:t>. With the knowledge that existing QR syllabi and other</w:t>
      </w:r>
      <w:r w:rsidR="009542CF">
        <w:rPr>
          <w:rFonts w:asciiTheme="minorHAnsi" w:hAnsiTheme="minorHAnsi" w:cstheme="minorHAnsi"/>
        </w:rPr>
        <w:t xml:space="preserve"> state standards closely aligning</w:t>
      </w:r>
      <w:r w:rsidR="008B69C1">
        <w:rPr>
          <w:rFonts w:asciiTheme="minorHAnsi" w:hAnsiTheme="minorHAnsi" w:cstheme="minorHAnsi"/>
        </w:rPr>
        <w:t xml:space="preserve"> to College Mathematics, developing support for QR seemed like the appropriate place to focus the work of the AMC.</w:t>
      </w:r>
    </w:p>
    <w:p w14:paraId="2191474C" w14:textId="77777777" w:rsidR="008B69C1" w:rsidRDefault="008B69C1" w:rsidP="00F1533C">
      <w:pPr>
        <w:rPr>
          <w:rFonts w:asciiTheme="minorHAnsi" w:hAnsiTheme="minorHAnsi" w:cstheme="minorHAnsi"/>
        </w:rPr>
      </w:pPr>
    </w:p>
    <w:p w14:paraId="5D68F843" w14:textId="77777777" w:rsidR="008D197A" w:rsidRDefault="008D197A" w:rsidP="008D197A">
      <w:pPr>
        <w:jc w:val="center"/>
        <w:rPr>
          <w:rFonts w:asciiTheme="minorHAnsi" w:hAnsiTheme="minorHAnsi" w:cstheme="minorHAnsi"/>
          <w:b/>
        </w:rPr>
      </w:pPr>
      <w:r w:rsidRPr="008D197A">
        <w:rPr>
          <w:rFonts w:asciiTheme="minorHAnsi" w:hAnsiTheme="minorHAnsi" w:cstheme="minorHAnsi"/>
          <w:b/>
        </w:rPr>
        <w:t>Discrete Mathematics</w:t>
      </w:r>
      <w:r>
        <w:rPr>
          <w:rFonts w:asciiTheme="minorHAnsi" w:hAnsiTheme="minorHAnsi" w:cstheme="minorHAnsi"/>
          <w:b/>
        </w:rPr>
        <w:t>- Quantitative Reasoning</w:t>
      </w:r>
    </w:p>
    <w:p w14:paraId="1F091163" w14:textId="77777777" w:rsidR="008D197A" w:rsidRDefault="008D197A" w:rsidP="008D197A">
      <w:pPr>
        <w:rPr>
          <w:rFonts w:asciiTheme="minorHAnsi" w:hAnsiTheme="minorHAnsi" w:cstheme="minorHAnsi"/>
        </w:rPr>
      </w:pPr>
      <w:r>
        <w:rPr>
          <w:rFonts w:asciiTheme="minorHAnsi" w:hAnsiTheme="minorHAnsi" w:cstheme="minorHAnsi"/>
        </w:rPr>
        <w:t>Discrete Mathematics standards currently exist in the</w:t>
      </w:r>
      <w:r w:rsidR="004426A1">
        <w:rPr>
          <w:rFonts w:asciiTheme="minorHAnsi" w:hAnsiTheme="minorHAnsi" w:cstheme="minorHAnsi"/>
        </w:rPr>
        <w:t xml:space="preserve"> </w:t>
      </w:r>
      <w:r w:rsidR="009542CF">
        <w:rPr>
          <w:rFonts w:asciiTheme="minorHAnsi" w:hAnsiTheme="minorHAnsi" w:cstheme="minorHAnsi"/>
        </w:rPr>
        <w:t xml:space="preserve">2016 </w:t>
      </w:r>
      <w:r>
        <w:rPr>
          <w:rFonts w:asciiTheme="minorHAnsi" w:hAnsiTheme="minorHAnsi" w:cstheme="minorHAnsi"/>
        </w:rPr>
        <w:t>Arizona Mathematics</w:t>
      </w:r>
      <w:r w:rsidR="00C04601">
        <w:rPr>
          <w:rFonts w:asciiTheme="minorHAnsi" w:hAnsiTheme="minorHAnsi" w:cstheme="minorHAnsi"/>
        </w:rPr>
        <w:t xml:space="preserve"> Plus</w:t>
      </w:r>
      <w:r>
        <w:rPr>
          <w:rFonts w:asciiTheme="minorHAnsi" w:hAnsiTheme="minorHAnsi" w:cstheme="minorHAnsi"/>
        </w:rPr>
        <w:t xml:space="preserve"> Standards.  Limited in nature, these standards are foundational for Computer Science and can also be found in some Quantitative Reasoning standards from other states. The committee decided that the current Plus Standards on Discrete Mathematics would benefit from inclusion in guidance and standards </w:t>
      </w:r>
      <w:r w:rsidR="009542CF">
        <w:rPr>
          <w:rFonts w:asciiTheme="minorHAnsi" w:hAnsiTheme="minorHAnsi" w:cstheme="minorHAnsi"/>
        </w:rPr>
        <w:t xml:space="preserve">in a </w:t>
      </w:r>
      <w:r>
        <w:rPr>
          <w:rFonts w:asciiTheme="minorHAnsi" w:hAnsiTheme="minorHAnsi" w:cstheme="minorHAnsi"/>
        </w:rPr>
        <w:t>Quantitative Reasoning</w:t>
      </w:r>
      <w:r w:rsidR="009542CF">
        <w:rPr>
          <w:rFonts w:asciiTheme="minorHAnsi" w:hAnsiTheme="minorHAnsi" w:cstheme="minorHAnsi"/>
        </w:rPr>
        <w:t xml:space="preserve"> course</w:t>
      </w:r>
      <w:r>
        <w:rPr>
          <w:rFonts w:asciiTheme="minorHAnsi" w:hAnsiTheme="minorHAnsi" w:cstheme="minorHAnsi"/>
        </w:rPr>
        <w:t>.</w:t>
      </w:r>
    </w:p>
    <w:p w14:paraId="39ECBDC9" w14:textId="77777777" w:rsidR="008D197A" w:rsidRDefault="008D197A" w:rsidP="008D197A">
      <w:pPr>
        <w:rPr>
          <w:rFonts w:asciiTheme="minorHAnsi" w:hAnsiTheme="minorHAnsi" w:cstheme="minorHAnsi"/>
        </w:rPr>
      </w:pPr>
    </w:p>
    <w:p w14:paraId="4A39920C" w14:textId="77777777" w:rsidR="008D197A" w:rsidRDefault="008D197A" w:rsidP="008D197A">
      <w:pPr>
        <w:jc w:val="center"/>
        <w:rPr>
          <w:rFonts w:asciiTheme="minorHAnsi" w:hAnsiTheme="minorHAnsi" w:cstheme="minorHAnsi"/>
          <w:b/>
        </w:rPr>
      </w:pPr>
      <w:r>
        <w:rPr>
          <w:rFonts w:asciiTheme="minorHAnsi" w:hAnsiTheme="minorHAnsi" w:cstheme="minorHAnsi"/>
          <w:b/>
        </w:rPr>
        <w:t>Precalculus</w:t>
      </w:r>
    </w:p>
    <w:p w14:paraId="1DA4C1E2" w14:textId="77777777" w:rsidR="008B69C1" w:rsidRPr="008B69C1" w:rsidRDefault="008B69C1" w:rsidP="008B69C1">
      <w:pPr>
        <w:rPr>
          <w:rFonts w:asciiTheme="minorHAnsi" w:hAnsiTheme="minorHAnsi" w:cstheme="minorHAnsi"/>
        </w:rPr>
      </w:pPr>
      <w:r>
        <w:rPr>
          <w:rFonts w:asciiTheme="minorHAnsi" w:hAnsiTheme="minorHAnsi" w:cstheme="minorHAnsi"/>
        </w:rPr>
        <w:t>The AMC did not need a lot of data to determine that developing guidance and standards for Precalculus would greatly benefit the field.  With the knowledge that Calculus was an initial math credit for students in a Bachelor of Science program, developing support for Precalculus seemed like the appropriate place to focus the work of the AMC.</w:t>
      </w:r>
    </w:p>
    <w:p w14:paraId="54AEC7AD" w14:textId="77777777" w:rsidR="008D197A" w:rsidRDefault="008D197A" w:rsidP="008D197A">
      <w:pPr>
        <w:rPr>
          <w:rFonts w:asciiTheme="minorHAnsi" w:hAnsiTheme="minorHAnsi" w:cstheme="minorHAnsi"/>
        </w:rPr>
      </w:pPr>
    </w:p>
    <w:p w14:paraId="502F2A1D" w14:textId="77777777" w:rsidR="000A3DD2" w:rsidRPr="000A3DD2" w:rsidRDefault="000A3DD2" w:rsidP="000A3DD2">
      <w:pPr>
        <w:spacing w:after="240"/>
        <w:rPr>
          <w:rFonts w:asciiTheme="minorHAnsi" w:hAnsiTheme="minorHAnsi" w:cstheme="minorHAnsi"/>
          <w:b/>
        </w:rPr>
      </w:pPr>
      <w:r w:rsidRPr="000A3DD2">
        <w:rPr>
          <w:rFonts w:asciiTheme="minorHAnsi" w:hAnsiTheme="minorHAnsi" w:cstheme="minorHAnsi"/>
          <w:b/>
        </w:rPr>
        <w:t>The decision to focus actions on the development of guidance for Quantitative Reasoning and Precalculus was also guided by the following information.</w:t>
      </w:r>
    </w:p>
    <w:p w14:paraId="3C6F7473" w14:textId="77777777" w:rsidR="000A3DD2" w:rsidRDefault="000A3DD2" w:rsidP="000A3DD2">
      <w:pPr>
        <w:pStyle w:val="ListParagraph"/>
        <w:numPr>
          <w:ilvl w:val="0"/>
          <w:numId w:val="3"/>
        </w:numPr>
        <w:spacing w:after="240"/>
        <w:rPr>
          <w:rFonts w:asciiTheme="minorHAnsi" w:hAnsiTheme="minorHAnsi" w:cstheme="minorHAnsi"/>
        </w:rPr>
      </w:pPr>
      <w:r>
        <w:rPr>
          <w:rFonts w:asciiTheme="minorHAnsi" w:hAnsiTheme="minorHAnsi" w:cstheme="minorHAnsi"/>
        </w:rPr>
        <w:t>Plus Standards represent additional math content that every high school student should have the opportu</w:t>
      </w:r>
      <w:r w:rsidR="009542CF">
        <w:rPr>
          <w:rFonts w:asciiTheme="minorHAnsi" w:hAnsiTheme="minorHAnsi" w:cstheme="minorHAnsi"/>
        </w:rPr>
        <w:t>nity to experience either in a fourth</w:t>
      </w:r>
      <w:r>
        <w:rPr>
          <w:rFonts w:asciiTheme="minorHAnsi" w:hAnsiTheme="minorHAnsi" w:cstheme="minorHAnsi"/>
        </w:rPr>
        <w:t xml:space="preserve"> credit course or as an extension of content in Al</w:t>
      </w:r>
      <w:r w:rsidR="009542CF">
        <w:rPr>
          <w:rFonts w:asciiTheme="minorHAnsi" w:hAnsiTheme="minorHAnsi" w:cstheme="minorHAnsi"/>
        </w:rPr>
        <w:t>gebra 1, Geometry, or Algebra 2</w:t>
      </w:r>
      <w:r>
        <w:rPr>
          <w:rFonts w:asciiTheme="minorHAnsi" w:hAnsiTheme="minorHAnsi" w:cstheme="minorHAnsi"/>
        </w:rPr>
        <w:t xml:space="preserve">.  </w:t>
      </w:r>
      <w:r w:rsidR="009542CF">
        <w:rPr>
          <w:rFonts w:asciiTheme="minorHAnsi" w:hAnsiTheme="minorHAnsi" w:cstheme="minorHAnsi"/>
        </w:rPr>
        <w:t>Many</w:t>
      </w:r>
      <w:r>
        <w:rPr>
          <w:rFonts w:asciiTheme="minorHAnsi" w:hAnsiTheme="minorHAnsi" w:cstheme="minorHAnsi"/>
        </w:rPr>
        <w:t xml:space="preserve"> Plus Standards would be </w:t>
      </w:r>
      <w:r w:rsidR="000759F7">
        <w:rPr>
          <w:rFonts w:asciiTheme="minorHAnsi" w:hAnsiTheme="minorHAnsi" w:cstheme="minorHAnsi"/>
        </w:rPr>
        <w:t>included in standards guidance for</w:t>
      </w:r>
      <w:r>
        <w:rPr>
          <w:rFonts w:asciiTheme="minorHAnsi" w:hAnsiTheme="minorHAnsi" w:cstheme="minorHAnsi"/>
        </w:rPr>
        <w:t xml:space="preserve"> Precalculus or Quantitative Reasoning.</w:t>
      </w:r>
    </w:p>
    <w:p w14:paraId="1AD3386C" w14:textId="77777777" w:rsidR="000A3DD2" w:rsidRDefault="000A3DD2" w:rsidP="000A3DD2">
      <w:pPr>
        <w:pStyle w:val="ListParagraph"/>
        <w:numPr>
          <w:ilvl w:val="0"/>
          <w:numId w:val="3"/>
        </w:numPr>
        <w:spacing w:after="240"/>
        <w:rPr>
          <w:rFonts w:asciiTheme="minorHAnsi" w:hAnsiTheme="minorHAnsi" w:cstheme="minorHAnsi"/>
        </w:rPr>
      </w:pPr>
      <w:r>
        <w:rPr>
          <w:rFonts w:asciiTheme="minorHAnsi" w:hAnsiTheme="minorHAnsi" w:cstheme="minorHAnsi"/>
        </w:rPr>
        <w:t xml:space="preserve">Precalculus and Quantitative Reasoning represent two </w:t>
      </w:r>
      <w:r w:rsidR="000759F7">
        <w:rPr>
          <w:rFonts w:asciiTheme="minorHAnsi" w:hAnsiTheme="minorHAnsi" w:cstheme="minorHAnsi"/>
        </w:rPr>
        <w:t xml:space="preserve">different </w:t>
      </w:r>
      <w:r>
        <w:rPr>
          <w:rFonts w:asciiTheme="minorHAnsi" w:hAnsiTheme="minorHAnsi" w:cstheme="minorHAnsi"/>
        </w:rPr>
        <w:t>pathways within</w:t>
      </w:r>
      <w:r w:rsidR="009542CF">
        <w:rPr>
          <w:rFonts w:asciiTheme="minorHAnsi" w:hAnsiTheme="minorHAnsi" w:cstheme="minorHAnsi"/>
        </w:rPr>
        <w:t xml:space="preserve"> </w:t>
      </w:r>
      <w:r>
        <w:rPr>
          <w:rFonts w:asciiTheme="minorHAnsi" w:hAnsiTheme="minorHAnsi" w:cstheme="minorHAnsi"/>
        </w:rPr>
        <w:t xml:space="preserve">high school mathematics education.  </w:t>
      </w:r>
    </w:p>
    <w:p w14:paraId="34283624" w14:textId="104903B9" w:rsidR="000A3DD2" w:rsidRPr="003242D1" w:rsidRDefault="000A3DD2" w:rsidP="008D197A">
      <w:pPr>
        <w:pStyle w:val="ListParagraph"/>
        <w:numPr>
          <w:ilvl w:val="0"/>
          <w:numId w:val="3"/>
        </w:numPr>
        <w:spacing w:after="240"/>
        <w:rPr>
          <w:rFonts w:asciiTheme="minorHAnsi" w:hAnsiTheme="minorHAnsi" w:cstheme="minorHAnsi"/>
        </w:rPr>
      </w:pPr>
      <w:r>
        <w:rPr>
          <w:rFonts w:asciiTheme="minorHAnsi" w:hAnsiTheme="minorHAnsi" w:cstheme="minorHAnsi"/>
        </w:rPr>
        <w:t xml:space="preserve">Precalculus and Quantitative Reasoning could provide students with dual </w:t>
      </w:r>
      <w:r w:rsidR="003242D1">
        <w:rPr>
          <w:rFonts w:asciiTheme="minorHAnsi" w:hAnsiTheme="minorHAnsi" w:cstheme="minorHAnsi"/>
        </w:rPr>
        <w:t>credit/enrollment opportunities</w:t>
      </w:r>
      <w:r w:rsidR="004A7F45">
        <w:rPr>
          <w:rFonts w:asciiTheme="minorHAnsi" w:hAnsiTheme="minorHAnsi" w:cstheme="minorHAnsi"/>
        </w:rPr>
        <w:t>.</w:t>
      </w:r>
    </w:p>
    <w:p w14:paraId="05B1D1AF" w14:textId="77777777" w:rsidR="00A973DE" w:rsidRDefault="000A3DD2" w:rsidP="000F57AD">
      <w:pPr>
        <w:rPr>
          <w:rFonts w:asciiTheme="minorHAnsi" w:hAnsiTheme="minorHAnsi" w:cstheme="minorHAnsi"/>
        </w:rPr>
      </w:pPr>
      <w:r w:rsidRPr="003242D1">
        <w:rPr>
          <w:rFonts w:asciiTheme="minorHAnsi" w:hAnsiTheme="minorHAnsi" w:cstheme="minorHAnsi"/>
        </w:rPr>
        <w:t xml:space="preserve">The </w:t>
      </w:r>
      <w:r w:rsidR="003242D1">
        <w:rPr>
          <w:rFonts w:asciiTheme="minorHAnsi" w:hAnsiTheme="minorHAnsi" w:cstheme="minorHAnsi"/>
        </w:rPr>
        <w:t>AMC</w:t>
      </w:r>
      <w:r w:rsidRPr="003242D1">
        <w:rPr>
          <w:rFonts w:asciiTheme="minorHAnsi" w:hAnsiTheme="minorHAnsi" w:cstheme="minorHAnsi"/>
        </w:rPr>
        <w:t xml:space="preserve"> was committed to providing the field with resources that would ensure that math pathways are rigorous and are developed coherently across institutions</w:t>
      </w:r>
      <w:r w:rsidR="003242D1">
        <w:rPr>
          <w:rFonts w:asciiTheme="minorHAnsi" w:hAnsiTheme="minorHAnsi" w:cstheme="minorHAnsi"/>
        </w:rPr>
        <w:t xml:space="preserve"> and improve math pathways.  </w:t>
      </w:r>
      <w:r w:rsidRPr="003242D1">
        <w:rPr>
          <w:rFonts w:asciiTheme="minorHAnsi" w:hAnsiTheme="minorHAnsi" w:cstheme="minorHAnsi"/>
        </w:rPr>
        <w:t>The AMC defined sys</w:t>
      </w:r>
      <w:r w:rsidR="003242D1" w:rsidRPr="003242D1">
        <w:rPr>
          <w:rFonts w:asciiTheme="minorHAnsi" w:hAnsiTheme="minorHAnsi" w:cstheme="minorHAnsi"/>
        </w:rPr>
        <w:t>tems to include all high school,</w:t>
      </w:r>
      <w:r w:rsidRPr="003242D1">
        <w:rPr>
          <w:rFonts w:asciiTheme="minorHAnsi" w:hAnsiTheme="minorHAnsi" w:cstheme="minorHAnsi"/>
        </w:rPr>
        <w:t xml:space="preserve"> higher education institutes and career programs.  All actions taken by the AMC supported the articulation among all systems and the goal of a positive and successful transition from high school to career and college.</w:t>
      </w:r>
    </w:p>
    <w:p w14:paraId="11C5C872" w14:textId="77777777" w:rsidR="009542CF" w:rsidRDefault="009542CF" w:rsidP="000F57AD">
      <w:pPr>
        <w:rPr>
          <w:rFonts w:asciiTheme="minorHAnsi" w:hAnsiTheme="minorHAnsi" w:cstheme="minorHAnsi"/>
        </w:rPr>
      </w:pPr>
    </w:p>
    <w:p w14:paraId="6BA774C9" w14:textId="77777777" w:rsidR="001F3155" w:rsidRDefault="009542CF" w:rsidP="001F3155">
      <w:pPr>
        <w:shd w:val="clear" w:color="auto" w:fill="F7F7F7"/>
        <w:rPr>
          <w:rFonts w:asciiTheme="minorHAnsi" w:hAnsiTheme="minorHAnsi"/>
          <w:b/>
          <w:sz w:val="28"/>
          <w:szCs w:val="28"/>
        </w:rPr>
      </w:pPr>
      <w:r>
        <w:rPr>
          <w:rFonts w:asciiTheme="minorHAnsi" w:hAnsiTheme="minorHAnsi"/>
          <w:b/>
          <w:sz w:val="28"/>
          <w:szCs w:val="28"/>
        </w:rPr>
        <w:t>High School Course Pathways – Additional</w:t>
      </w:r>
      <w:r w:rsidR="001F3155">
        <w:rPr>
          <w:rFonts w:asciiTheme="minorHAnsi" w:hAnsiTheme="minorHAnsi"/>
          <w:b/>
          <w:sz w:val="28"/>
          <w:szCs w:val="28"/>
        </w:rPr>
        <w:t xml:space="preserve"> Credit Options</w:t>
      </w:r>
    </w:p>
    <w:p w14:paraId="123825C7" w14:textId="00C3EADB" w:rsidR="007841A3" w:rsidRDefault="000474F1" w:rsidP="001F3155">
      <w:pPr>
        <w:jc w:val="center"/>
      </w:pPr>
      <w:r>
        <w:rPr>
          <w:noProof/>
        </w:rPr>
        <w:drawing>
          <wp:inline distT="0" distB="0" distL="0" distR="0" wp14:anchorId="7715878E" wp14:editId="0B4A8AD7">
            <wp:extent cx="5648325" cy="483163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2676" cy="4878125"/>
                    </a:xfrm>
                    <a:prstGeom prst="rect">
                      <a:avLst/>
                    </a:prstGeom>
                  </pic:spPr>
                </pic:pic>
              </a:graphicData>
            </a:graphic>
          </wp:inline>
        </w:drawing>
      </w:r>
    </w:p>
    <w:p w14:paraId="28169A57" w14:textId="77777777" w:rsidR="007841A3" w:rsidRDefault="001F3155">
      <w:r>
        <w:rPr>
          <w:noProof/>
        </w:rPr>
        <mc:AlternateContent>
          <mc:Choice Requires="wps">
            <w:drawing>
              <wp:anchor distT="45720" distB="45720" distL="114300" distR="114300" simplePos="0" relativeHeight="251659264" behindDoc="0" locked="0" layoutInCell="1" allowOverlap="1" wp14:anchorId="4918E895" wp14:editId="5B9F6C9A">
                <wp:simplePos x="0" y="0"/>
                <wp:positionH relativeFrom="margin">
                  <wp:align>right</wp:align>
                </wp:positionH>
                <wp:positionV relativeFrom="paragraph">
                  <wp:posOffset>303530</wp:posOffset>
                </wp:positionV>
                <wp:extent cx="8515350" cy="657225"/>
                <wp:effectExtent l="0" t="0" r="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657225"/>
                        </a:xfrm>
                        <a:prstGeom prst="rect">
                          <a:avLst/>
                        </a:prstGeom>
                        <a:solidFill>
                          <a:srgbClr val="FFFFFF"/>
                        </a:solidFill>
                        <a:ln w="9525">
                          <a:noFill/>
                          <a:miter lim="800000"/>
                          <a:headEnd/>
                          <a:tailEnd/>
                        </a:ln>
                      </wps:spPr>
                      <wps:txbx>
                        <w:txbxContent>
                          <w:p w14:paraId="4B43EE6B" w14:textId="77777777" w:rsidR="00C96700" w:rsidRDefault="00C96700" w:rsidP="001F3155">
                            <w:pPr>
                              <w:rPr>
                                <w:rFonts w:asciiTheme="minorHAnsi" w:hAnsiTheme="minorHAnsi" w:cstheme="minorHAnsi"/>
                              </w:rPr>
                            </w:pPr>
                            <w:r w:rsidRPr="00375F3F">
                              <w:rPr>
                                <w:rFonts w:asciiTheme="minorHAnsi" w:hAnsiTheme="minorHAnsi" w:cstheme="minorHAnsi"/>
                              </w:rPr>
                              <w:t xml:space="preserve">These are examples of the multitude of different pathways that can be created within different credit levels.  These options allow for students to explore different pathways of mathematics over the course of their high school courses/credits.  All course/credit options are local control decisions that are adopted by the local Governing Board and approved by the Arizona Board of Regents (ABOR). </w:t>
                            </w:r>
                          </w:p>
                          <w:p w14:paraId="081E5EC8" w14:textId="77777777" w:rsidR="00C96700" w:rsidRPr="00375F3F" w:rsidRDefault="00C96700" w:rsidP="001F3155">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8E895" id="_x0000_t202" coordsize="21600,21600" o:spt="202" path="m,l,21600r21600,l21600,xe">
                <v:stroke joinstyle="miter"/>
                <v:path gradientshapeok="t" o:connecttype="rect"/>
              </v:shapetype>
              <v:shape id="Text Box 2" o:spid="_x0000_s1026" type="#_x0000_t202" style="position:absolute;margin-left:619.3pt;margin-top:23.9pt;width:670.5pt;height:5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" stroked="f">
                <v:textbox>
                  <w:txbxContent>
                    <w:p w14:paraId="4B43EE6B" w14:textId="77777777" w:rsidR="00C96700" w:rsidRDefault="00C96700" w:rsidP="001F3155">
                      <w:pPr>
                        <w:rPr>
                          <w:rFonts w:asciiTheme="minorHAnsi" w:hAnsiTheme="minorHAnsi" w:cstheme="minorHAnsi"/>
                        </w:rPr>
                      </w:pPr>
                      <w:r w:rsidRPr="00375F3F">
                        <w:rPr>
                          <w:rFonts w:asciiTheme="minorHAnsi" w:hAnsiTheme="minorHAnsi" w:cstheme="minorHAnsi"/>
                        </w:rPr>
                        <w:t xml:space="preserve">These are examples of the multitude of different pathways that can be created within different credit levels.  These options allow for students to explore different pathways of mathematics over the course of their high school courses/credits.  All course/credit options are local control decisions that are adopted by the local Governing Board and approved by the Arizona Board of Regents (ABOR). </w:t>
                      </w:r>
                    </w:p>
                    <w:p w14:paraId="081E5EC8" w14:textId="77777777" w:rsidR="00C96700" w:rsidRPr="00375F3F" w:rsidRDefault="00C96700" w:rsidP="001F3155">
                      <w:pPr>
                        <w:rPr>
                          <w:rFonts w:asciiTheme="minorHAnsi" w:hAnsiTheme="minorHAnsi" w:cstheme="minorHAnsi"/>
                        </w:rPr>
                      </w:pPr>
                    </w:p>
                  </w:txbxContent>
                </v:textbox>
                <w10:wrap type="square" anchorx="margin"/>
              </v:shape>
            </w:pict>
          </mc:Fallback>
        </mc:AlternateContent>
      </w:r>
    </w:p>
    <w:p w14:paraId="062BC7D0" w14:textId="77777777" w:rsidR="00E15D41" w:rsidRDefault="00375F3F" w:rsidP="00E15D41">
      <w:pPr>
        <w:shd w:val="clear" w:color="auto" w:fill="F7F7F7"/>
        <w:rPr>
          <w:rFonts w:asciiTheme="minorHAnsi" w:hAnsiTheme="minorHAnsi"/>
          <w:b/>
          <w:sz w:val="28"/>
          <w:szCs w:val="28"/>
        </w:rPr>
      </w:pPr>
      <w:r>
        <w:rPr>
          <w:rFonts w:asciiTheme="minorHAnsi" w:hAnsiTheme="minorHAnsi"/>
          <w:b/>
          <w:sz w:val="28"/>
          <w:szCs w:val="28"/>
        </w:rPr>
        <w:t xml:space="preserve">Advanced </w:t>
      </w:r>
      <w:r w:rsidR="009542CF">
        <w:rPr>
          <w:rFonts w:asciiTheme="minorHAnsi" w:hAnsiTheme="minorHAnsi"/>
          <w:b/>
          <w:sz w:val="28"/>
          <w:szCs w:val="28"/>
        </w:rPr>
        <w:t xml:space="preserve">Program </w:t>
      </w:r>
      <w:r>
        <w:rPr>
          <w:rFonts w:asciiTheme="minorHAnsi" w:hAnsiTheme="minorHAnsi"/>
          <w:b/>
          <w:sz w:val="28"/>
          <w:szCs w:val="28"/>
        </w:rPr>
        <w:t xml:space="preserve">Credit </w:t>
      </w:r>
      <w:r w:rsidR="00FB5CC5">
        <w:rPr>
          <w:rFonts w:asciiTheme="minorHAnsi" w:hAnsiTheme="minorHAnsi"/>
          <w:b/>
          <w:sz w:val="28"/>
          <w:szCs w:val="28"/>
        </w:rPr>
        <w:t xml:space="preserve">and Program Information </w:t>
      </w:r>
    </w:p>
    <w:p w14:paraId="589D1F9F" w14:textId="77777777" w:rsidR="007841A3" w:rsidRDefault="007841A3"/>
    <w:p w14:paraId="1ED30549" w14:textId="77777777" w:rsidR="00590694" w:rsidRDefault="00590694" w:rsidP="00375F3F">
      <w:pPr>
        <w:autoSpaceDE w:val="0"/>
        <w:autoSpaceDN w:val="0"/>
        <w:adjustRightInd w:val="0"/>
        <w:rPr>
          <w:rFonts w:asciiTheme="minorHAnsi" w:hAnsiTheme="minorHAnsi" w:cstheme="minorHAnsi"/>
        </w:rPr>
      </w:pPr>
      <w:r>
        <w:rPr>
          <w:rFonts w:asciiTheme="minorHAnsi" w:hAnsiTheme="minorHAnsi" w:cstheme="minorHAnsi"/>
        </w:rPr>
        <w:t>Each LEA created a course catalog with options to complete the four credits and additional credit options for mathematics credit to satisfy high school graduation and possibly earn college credit or advanced placement in college prior to graduating high school.  All course options are a l</w:t>
      </w:r>
      <w:r w:rsidR="009542CF">
        <w:rPr>
          <w:rFonts w:asciiTheme="minorHAnsi" w:hAnsiTheme="minorHAnsi" w:cstheme="minorHAnsi"/>
        </w:rPr>
        <w:t>ocal decision and can be found i</w:t>
      </w:r>
      <w:r>
        <w:rPr>
          <w:rFonts w:asciiTheme="minorHAnsi" w:hAnsiTheme="minorHAnsi" w:cstheme="minorHAnsi"/>
        </w:rPr>
        <w:t xml:space="preserve">n the site/district course catalog or through the </w:t>
      </w:r>
      <w:r w:rsidR="00C04601">
        <w:rPr>
          <w:rFonts w:asciiTheme="minorHAnsi" w:hAnsiTheme="minorHAnsi" w:cstheme="minorHAnsi"/>
        </w:rPr>
        <w:t xml:space="preserve">District/LEA </w:t>
      </w:r>
      <w:r>
        <w:rPr>
          <w:rFonts w:asciiTheme="minorHAnsi" w:hAnsiTheme="minorHAnsi" w:cstheme="minorHAnsi"/>
        </w:rPr>
        <w:t xml:space="preserve">Mathematics Department website.  For additional information on Advanced Placement Programs, please visit the Arizona Department of Education website.  Contacts for additional information are listed on the </w:t>
      </w:r>
      <w:hyperlink r:id="rId15" w:history="1">
        <w:r w:rsidRPr="00590694">
          <w:rPr>
            <w:rStyle w:val="Hyperlink"/>
            <w:rFonts w:asciiTheme="minorHAnsi" w:hAnsiTheme="minorHAnsi" w:cstheme="minorHAnsi"/>
          </w:rPr>
          <w:t>Advanced Placement homepage</w:t>
        </w:r>
      </w:hyperlink>
      <w:r>
        <w:rPr>
          <w:rFonts w:asciiTheme="minorHAnsi" w:hAnsiTheme="minorHAnsi" w:cstheme="minorHAnsi"/>
        </w:rPr>
        <w:t xml:space="preserve">.  </w:t>
      </w:r>
    </w:p>
    <w:p w14:paraId="207E71ED" w14:textId="77777777" w:rsidR="00590694" w:rsidRDefault="00590694" w:rsidP="00375F3F">
      <w:pPr>
        <w:autoSpaceDE w:val="0"/>
        <w:autoSpaceDN w:val="0"/>
        <w:adjustRightInd w:val="0"/>
        <w:rPr>
          <w:rFonts w:asciiTheme="minorHAnsi" w:hAnsiTheme="minorHAnsi" w:cstheme="minorHAnsi"/>
        </w:rPr>
      </w:pPr>
    </w:p>
    <w:p w14:paraId="2DE5519D" w14:textId="77777777" w:rsidR="00590694" w:rsidRPr="00590694" w:rsidRDefault="00590694" w:rsidP="00375F3F">
      <w:pPr>
        <w:autoSpaceDE w:val="0"/>
        <w:autoSpaceDN w:val="0"/>
        <w:adjustRightInd w:val="0"/>
        <w:rPr>
          <w:rFonts w:asciiTheme="minorHAnsi" w:hAnsiTheme="minorHAnsi" w:cstheme="minorHAnsi"/>
          <w:b/>
        </w:rPr>
      </w:pPr>
      <w:r w:rsidRPr="00590694">
        <w:rPr>
          <w:rFonts w:asciiTheme="minorHAnsi" w:hAnsiTheme="minorHAnsi" w:cstheme="minorHAnsi"/>
          <w:b/>
        </w:rPr>
        <w:t>Limited descriptions of some of the most common advanced placement opportunities or programs are listed below.</w:t>
      </w:r>
    </w:p>
    <w:p w14:paraId="5178B692" w14:textId="77777777" w:rsidR="00590694" w:rsidRDefault="00590694" w:rsidP="00375F3F">
      <w:pPr>
        <w:autoSpaceDE w:val="0"/>
        <w:autoSpaceDN w:val="0"/>
        <w:adjustRightInd w:val="0"/>
        <w:rPr>
          <w:rFonts w:asciiTheme="minorHAnsi" w:hAnsiTheme="minorHAnsi" w:cstheme="minorHAnsi"/>
          <w:b/>
        </w:rPr>
      </w:pPr>
    </w:p>
    <w:p w14:paraId="1F00E445" w14:textId="77777777" w:rsidR="007841A3" w:rsidRPr="00375F3F" w:rsidRDefault="00375F3F" w:rsidP="00375F3F">
      <w:pPr>
        <w:autoSpaceDE w:val="0"/>
        <w:autoSpaceDN w:val="0"/>
        <w:adjustRightInd w:val="0"/>
        <w:rPr>
          <w:rFonts w:asciiTheme="minorHAnsi" w:hAnsiTheme="minorHAnsi" w:cstheme="minorHAnsi"/>
        </w:rPr>
      </w:pPr>
      <w:r w:rsidRPr="00375F3F">
        <w:rPr>
          <w:rFonts w:asciiTheme="minorHAnsi" w:hAnsiTheme="minorHAnsi" w:cstheme="minorHAnsi"/>
          <w:b/>
        </w:rPr>
        <w:t>Dual Credit</w:t>
      </w:r>
      <w:r w:rsidRPr="00375F3F">
        <w:rPr>
          <w:rFonts w:asciiTheme="minorHAnsi" w:hAnsiTheme="minorHAnsi" w:cstheme="minorHAnsi"/>
        </w:rPr>
        <w:t xml:space="preserve"> or Dual Enrollment is the enrollment of a high school student in a college course for which dual credit (both college and high school</w:t>
      </w:r>
      <w:r>
        <w:rPr>
          <w:rFonts w:asciiTheme="minorHAnsi" w:hAnsiTheme="minorHAnsi" w:cstheme="minorHAnsi"/>
        </w:rPr>
        <w:t xml:space="preserve"> </w:t>
      </w:r>
      <w:r w:rsidRPr="00375F3F">
        <w:rPr>
          <w:rFonts w:asciiTheme="minorHAnsi" w:hAnsiTheme="minorHAnsi" w:cstheme="minorHAnsi"/>
        </w:rPr>
        <w:t>credit) is attempted and recorded on both the student’s secondary and postsecondary academic record. A college course offered for</w:t>
      </w:r>
      <w:r>
        <w:rPr>
          <w:rFonts w:asciiTheme="minorHAnsi" w:hAnsiTheme="minorHAnsi" w:cstheme="minorHAnsi"/>
        </w:rPr>
        <w:t xml:space="preserve"> </w:t>
      </w:r>
      <w:r w:rsidRPr="00375F3F">
        <w:rPr>
          <w:rFonts w:asciiTheme="minorHAnsi" w:hAnsiTheme="minorHAnsi" w:cstheme="minorHAnsi"/>
        </w:rPr>
        <w:t>Dual Credit/Enrollment is: (1) an on-site or online college course taught by the postsecondary institution, or (2) a specially scheduled college</w:t>
      </w:r>
      <w:r>
        <w:rPr>
          <w:rFonts w:asciiTheme="minorHAnsi" w:hAnsiTheme="minorHAnsi" w:cstheme="minorHAnsi"/>
        </w:rPr>
        <w:t xml:space="preserve"> </w:t>
      </w:r>
      <w:r w:rsidRPr="00375F3F">
        <w:rPr>
          <w:rFonts w:asciiTheme="minorHAnsi" w:hAnsiTheme="minorHAnsi" w:cstheme="minorHAnsi"/>
        </w:rPr>
        <w:t>course taught at the high school. Postsecondary institutions must adhere to Board of Regents Policy and must comply with all</w:t>
      </w:r>
      <w:r>
        <w:rPr>
          <w:rFonts w:asciiTheme="minorHAnsi" w:hAnsiTheme="minorHAnsi" w:cstheme="minorHAnsi"/>
        </w:rPr>
        <w:t xml:space="preserve"> </w:t>
      </w:r>
      <w:r w:rsidRPr="00375F3F">
        <w:rPr>
          <w:rFonts w:asciiTheme="minorHAnsi" w:hAnsiTheme="minorHAnsi" w:cstheme="minorHAnsi"/>
        </w:rPr>
        <w:t>accreditation requirements for awarding credit</w:t>
      </w:r>
      <w:r>
        <w:rPr>
          <w:rFonts w:asciiTheme="minorHAnsi" w:hAnsiTheme="minorHAnsi" w:cstheme="minorHAnsi"/>
        </w:rPr>
        <w:t xml:space="preserve">.  </w:t>
      </w:r>
    </w:p>
    <w:p w14:paraId="0041EDC2" w14:textId="77777777" w:rsidR="00375F3F" w:rsidRDefault="00375F3F">
      <w:pPr>
        <w:rPr>
          <w:rFonts w:asciiTheme="minorHAnsi" w:hAnsiTheme="minorHAnsi" w:cstheme="minorHAnsi"/>
        </w:rPr>
      </w:pPr>
    </w:p>
    <w:p w14:paraId="7C4AD1E9" w14:textId="77777777" w:rsidR="00375F3F" w:rsidRDefault="00375F3F">
      <w:pPr>
        <w:rPr>
          <w:rFonts w:asciiTheme="minorHAnsi" w:hAnsiTheme="minorHAnsi" w:cstheme="minorHAnsi"/>
        </w:rPr>
      </w:pPr>
      <w:r w:rsidRPr="00375F3F">
        <w:rPr>
          <w:rFonts w:asciiTheme="minorHAnsi" w:hAnsiTheme="minorHAnsi" w:cstheme="minorHAnsi"/>
          <w:b/>
        </w:rPr>
        <w:t>Advanced Placement</w:t>
      </w:r>
      <w:r>
        <w:rPr>
          <w:rFonts w:asciiTheme="minorHAnsi" w:hAnsiTheme="minorHAnsi" w:cstheme="minorHAnsi"/>
        </w:rPr>
        <w:t xml:space="preserve"> or AP enable</w:t>
      </w:r>
      <w:r w:rsidR="009542CF">
        <w:rPr>
          <w:rFonts w:asciiTheme="minorHAnsi" w:hAnsiTheme="minorHAnsi" w:cstheme="minorHAnsi"/>
        </w:rPr>
        <w:t>s</w:t>
      </w:r>
      <w:r>
        <w:rPr>
          <w:rFonts w:asciiTheme="minorHAnsi" w:hAnsiTheme="minorHAnsi" w:cstheme="minorHAnsi"/>
        </w:rPr>
        <w:t xml:space="preserve"> students to pursue college-level studies while still</w:t>
      </w:r>
      <w:r w:rsidR="00E542E5">
        <w:rPr>
          <w:rFonts w:asciiTheme="minorHAnsi" w:hAnsiTheme="minorHAnsi" w:cstheme="minorHAnsi"/>
        </w:rPr>
        <w:t xml:space="preserve"> </w:t>
      </w:r>
      <w:r>
        <w:rPr>
          <w:rFonts w:asciiTheme="minorHAnsi" w:hAnsiTheme="minorHAnsi" w:cstheme="minorHAnsi"/>
        </w:rPr>
        <w:t xml:space="preserve">in high school. </w:t>
      </w:r>
      <w:r w:rsidR="009542CF">
        <w:rPr>
          <w:rFonts w:asciiTheme="minorHAnsi" w:hAnsiTheme="minorHAnsi" w:cstheme="minorHAnsi"/>
        </w:rPr>
        <w:t xml:space="preserve"> Through more than 30 courses (3</w:t>
      </w:r>
      <w:r>
        <w:rPr>
          <w:rFonts w:asciiTheme="minorHAnsi" w:hAnsiTheme="minorHAnsi" w:cstheme="minorHAnsi"/>
        </w:rPr>
        <w:t xml:space="preserve"> math credit courses</w:t>
      </w:r>
      <w:r w:rsidR="009542CF">
        <w:rPr>
          <w:rFonts w:asciiTheme="minorHAnsi" w:hAnsiTheme="minorHAnsi" w:cstheme="minorHAnsi"/>
        </w:rPr>
        <w:t xml:space="preserve">- Calculus AB, Calculus </w:t>
      </w:r>
      <w:r w:rsidR="00E542E5">
        <w:rPr>
          <w:rFonts w:asciiTheme="minorHAnsi" w:hAnsiTheme="minorHAnsi" w:cstheme="minorHAnsi"/>
        </w:rPr>
        <w:t>BC</w:t>
      </w:r>
      <w:r w:rsidR="009542CF">
        <w:rPr>
          <w:rFonts w:asciiTheme="minorHAnsi" w:hAnsiTheme="minorHAnsi" w:cstheme="minorHAnsi"/>
        </w:rPr>
        <w:t>,</w:t>
      </w:r>
      <w:r w:rsidR="00E542E5">
        <w:rPr>
          <w:rFonts w:asciiTheme="minorHAnsi" w:hAnsiTheme="minorHAnsi" w:cstheme="minorHAnsi"/>
        </w:rPr>
        <w:t xml:space="preserve"> and Statistics</w:t>
      </w:r>
      <w:r>
        <w:rPr>
          <w:rFonts w:asciiTheme="minorHAnsi" w:hAnsiTheme="minorHAnsi" w:cstheme="minorHAnsi"/>
        </w:rPr>
        <w:t xml:space="preserve">), each culminating in a rigorous exam, AP provides willing and academically prepared students with the opportunity to earn college credit, advanced placement, or both.  </w:t>
      </w:r>
    </w:p>
    <w:p w14:paraId="5D63DED1" w14:textId="77777777" w:rsidR="00375F3F" w:rsidRDefault="00375F3F">
      <w:pPr>
        <w:rPr>
          <w:rFonts w:asciiTheme="minorHAnsi" w:hAnsiTheme="minorHAnsi" w:cstheme="minorHAnsi"/>
        </w:rPr>
      </w:pPr>
    </w:p>
    <w:p w14:paraId="5B67D3DD" w14:textId="77777777" w:rsidR="00375F3F" w:rsidRDefault="00375F3F">
      <w:pPr>
        <w:rPr>
          <w:rFonts w:asciiTheme="minorHAnsi" w:hAnsiTheme="minorHAnsi" w:cstheme="minorHAnsi"/>
        </w:rPr>
      </w:pPr>
      <w:r w:rsidRPr="00E542E5">
        <w:rPr>
          <w:rFonts w:asciiTheme="minorHAnsi" w:hAnsiTheme="minorHAnsi" w:cstheme="minorHAnsi"/>
          <w:b/>
        </w:rPr>
        <w:t>International Bac</w:t>
      </w:r>
      <w:r w:rsidR="00E542E5">
        <w:rPr>
          <w:rFonts w:asciiTheme="minorHAnsi" w:hAnsiTheme="minorHAnsi" w:cstheme="minorHAnsi"/>
          <w:b/>
        </w:rPr>
        <w:t>calaureate</w:t>
      </w:r>
      <w:r>
        <w:rPr>
          <w:rFonts w:asciiTheme="minorHAnsi" w:hAnsiTheme="minorHAnsi" w:cstheme="minorHAnsi"/>
        </w:rPr>
        <w:t xml:space="preserve"> or IB</w:t>
      </w:r>
      <w:r w:rsidR="00E542E5">
        <w:rPr>
          <w:rFonts w:asciiTheme="minorHAnsi" w:hAnsiTheme="minorHAnsi" w:cstheme="minorHAnsi"/>
        </w:rPr>
        <w:t xml:space="preserve"> is comprised of four programs from Preschool through high school that focus on teaching students to think critically and independently, and how to inquire with care and logic. The International Baccalaureate program also has a Diploma program where students</w:t>
      </w:r>
      <w:r w:rsidR="00590694">
        <w:rPr>
          <w:rFonts w:asciiTheme="minorHAnsi" w:hAnsiTheme="minorHAnsi" w:cstheme="minorHAnsi"/>
        </w:rPr>
        <w:t xml:space="preserve"> take IB exams and</w:t>
      </w:r>
      <w:r w:rsidR="00E542E5">
        <w:rPr>
          <w:rFonts w:asciiTheme="minorHAnsi" w:hAnsiTheme="minorHAnsi" w:cstheme="minorHAnsi"/>
        </w:rPr>
        <w:t xml:space="preserve"> can receive college credit,</w:t>
      </w:r>
      <w:r w:rsidR="00590694">
        <w:rPr>
          <w:rFonts w:asciiTheme="minorHAnsi" w:hAnsiTheme="minorHAnsi" w:cstheme="minorHAnsi"/>
        </w:rPr>
        <w:t xml:space="preserve"> advanced placement or both.  The IB pathway can</w:t>
      </w:r>
      <w:r w:rsidR="00E542E5">
        <w:rPr>
          <w:rFonts w:asciiTheme="minorHAnsi" w:hAnsiTheme="minorHAnsi" w:cstheme="minorHAnsi"/>
        </w:rPr>
        <w:t xml:space="preserve"> include all </w:t>
      </w:r>
      <w:r w:rsidR="00590694">
        <w:rPr>
          <w:rFonts w:asciiTheme="minorHAnsi" w:hAnsiTheme="minorHAnsi" w:cstheme="minorHAnsi"/>
        </w:rPr>
        <w:t xml:space="preserve">four </w:t>
      </w:r>
      <w:r w:rsidR="00E542E5">
        <w:rPr>
          <w:rFonts w:asciiTheme="minorHAnsi" w:hAnsiTheme="minorHAnsi" w:cstheme="minorHAnsi"/>
        </w:rPr>
        <w:t xml:space="preserve">courses at high school or can branch out to include Precalculus and Calculus/AP Calculus.  It is a local decision how the IB </w:t>
      </w:r>
      <w:r w:rsidR="00590694">
        <w:rPr>
          <w:rFonts w:asciiTheme="minorHAnsi" w:hAnsiTheme="minorHAnsi" w:cstheme="minorHAnsi"/>
        </w:rPr>
        <w:t>and Diploma program are</w:t>
      </w:r>
      <w:r w:rsidR="009542CF">
        <w:rPr>
          <w:rFonts w:asciiTheme="minorHAnsi" w:hAnsiTheme="minorHAnsi" w:cstheme="minorHAnsi"/>
        </w:rPr>
        <w:t xml:space="preserve"> implemented at the high-</w:t>
      </w:r>
      <w:r w:rsidR="00E542E5">
        <w:rPr>
          <w:rFonts w:asciiTheme="minorHAnsi" w:hAnsiTheme="minorHAnsi" w:cstheme="minorHAnsi"/>
        </w:rPr>
        <w:t>school level.</w:t>
      </w:r>
    </w:p>
    <w:p w14:paraId="39379A41" w14:textId="77777777" w:rsidR="00375F3F" w:rsidRDefault="00375F3F">
      <w:pPr>
        <w:rPr>
          <w:rFonts w:asciiTheme="minorHAnsi" w:hAnsiTheme="minorHAnsi" w:cstheme="minorHAnsi"/>
        </w:rPr>
      </w:pPr>
    </w:p>
    <w:p w14:paraId="252588B4" w14:textId="37D36CAD" w:rsidR="009B043C" w:rsidRDefault="00375F3F">
      <w:pPr>
        <w:rPr>
          <w:rFonts w:asciiTheme="minorHAnsi" w:hAnsiTheme="minorHAnsi" w:cstheme="minorHAnsi"/>
        </w:rPr>
      </w:pPr>
      <w:r w:rsidRPr="00E542E5">
        <w:rPr>
          <w:rFonts w:asciiTheme="minorHAnsi" w:hAnsiTheme="minorHAnsi" w:cstheme="minorHAnsi"/>
          <w:b/>
        </w:rPr>
        <w:t>Cambridge</w:t>
      </w:r>
      <w:r w:rsidR="00E542E5" w:rsidRPr="00E542E5">
        <w:rPr>
          <w:rFonts w:asciiTheme="minorHAnsi" w:hAnsiTheme="minorHAnsi" w:cstheme="minorHAnsi"/>
          <w:b/>
        </w:rPr>
        <w:t xml:space="preserve"> International</w:t>
      </w:r>
      <w:r w:rsidR="00E542E5">
        <w:rPr>
          <w:rFonts w:asciiTheme="minorHAnsi" w:hAnsiTheme="minorHAnsi" w:cstheme="minorHAnsi"/>
        </w:rPr>
        <w:t xml:space="preserve"> is a </w:t>
      </w:r>
      <w:r w:rsidR="00590694">
        <w:rPr>
          <w:rFonts w:asciiTheme="minorHAnsi" w:hAnsiTheme="minorHAnsi" w:cstheme="minorHAnsi"/>
        </w:rPr>
        <w:t xml:space="preserve">program and </w:t>
      </w:r>
      <w:r w:rsidR="00E542E5">
        <w:rPr>
          <w:rFonts w:asciiTheme="minorHAnsi" w:hAnsiTheme="minorHAnsi" w:cstheme="minorHAnsi"/>
        </w:rPr>
        <w:t>curriculum adopted at the local level for multiple grade levels and subje</w:t>
      </w:r>
      <w:r w:rsidR="00235BC7">
        <w:rPr>
          <w:rFonts w:asciiTheme="minorHAnsi" w:hAnsiTheme="minorHAnsi" w:cstheme="minorHAnsi"/>
        </w:rPr>
        <w:t>cts.  These curriculum and high-</w:t>
      </w:r>
      <w:r w:rsidR="00E542E5">
        <w:rPr>
          <w:rFonts w:asciiTheme="minorHAnsi" w:hAnsiTheme="minorHAnsi" w:cstheme="minorHAnsi"/>
        </w:rPr>
        <w:t>school pa</w:t>
      </w:r>
      <w:r w:rsidR="00590694">
        <w:rPr>
          <w:rFonts w:asciiTheme="minorHAnsi" w:hAnsiTheme="minorHAnsi" w:cstheme="minorHAnsi"/>
        </w:rPr>
        <w:t xml:space="preserve">thways can be associated with the Diploma Program and </w:t>
      </w:r>
      <w:r w:rsidR="00E542E5">
        <w:rPr>
          <w:rFonts w:asciiTheme="minorHAnsi" w:hAnsiTheme="minorHAnsi" w:cstheme="minorHAnsi"/>
        </w:rPr>
        <w:t>assessment.  Passing exam scores/grades can earn college credit</w:t>
      </w:r>
      <w:r w:rsidR="00590694">
        <w:rPr>
          <w:rFonts w:asciiTheme="minorHAnsi" w:hAnsiTheme="minorHAnsi" w:cstheme="minorHAnsi"/>
        </w:rPr>
        <w:t>, advanced placement or both</w:t>
      </w:r>
      <w:r w:rsidR="00E542E5">
        <w:rPr>
          <w:rFonts w:asciiTheme="minorHAnsi" w:hAnsiTheme="minorHAnsi" w:cstheme="minorHAnsi"/>
        </w:rPr>
        <w:t xml:space="preserve">.  </w:t>
      </w:r>
      <w:r w:rsidR="00590694">
        <w:rPr>
          <w:rFonts w:asciiTheme="minorHAnsi" w:hAnsiTheme="minorHAnsi" w:cstheme="minorHAnsi"/>
        </w:rPr>
        <w:t xml:space="preserve">The </w:t>
      </w:r>
      <w:r w:rsidR="00E542E5">
        <w:rPr>
          <w:rFonts w:asciiTheme="minorHAnsi" w:hAnsiTheme="minorHAnsi" w:cstheme="minorHAnsi"/>
        </w:rPr>
        <w:t xml:space="preserve">Cambridge curriculum can include all courses at high school or can branch out to include Precalculus and Calculus/AP Calculus.  It is a local decision how the Cambridge International curriculum </w:t>
      </w:r>
      <w:r w:rsidR="00590694">
        <w:rPr>
          <w:rFonts w:asciiTheme="minorHAnsi" w:hAnsiTheme="minorHAnsi" w:cstheme="minorHAnsi"/>
        </w:rPr>
        <w:t xml:space="preserve">and Cambridge Diploma Program are </w:t>
      </w:r>
      <w:r w:rsidR="00E542E5">
        <w:rPr>
          <w:rFonts w:asciiTheme="minorHAnsi" w:hAnsiTheme="minorHAnsi" w:cstheme="minorHAnsi"/>
        </w:rPr>
        <w:t>implemented at the high school level.</w:t>
      </w:r>
    </w:p>
    <w:p w14:paraId="44FCFBCB" w14:textId="4EDFCCE2" w:rsidR="00770A15" w:rsidRDefault="00770A15">
      <w:pPr>
        <w:rPr>
          <w:rFonts w:asciiTheme="minorHAnsi" w:hAnsiTheme="minorHAnsi" w:cstheme="minorHAnsi"/>
        </w:rPr>
      </w:pPr>
    </w:p>
    <w:p w14:paraId="7AC3CD45" w14:textId="66413774" w:rsidR="00770A15" w:rsidRDefault="00770A15" w:rsidP="00770A15">
      <w:pPr>
        <w:jc w:val="center"/>
        <w:rPr>
          <w:rFonts w:asciiTheme="minorHAnsi" w:hAnsiTheme="minorHAnsi" w:cstheme="minorHAnsi"/>
        </w:rPr>
      </w:pPr>
      <w:r>
        <w:rPr>
          <w:rFonts w:asciiTheme="minorHAnsi" w:hAnsiTheme="minorHAnsi" w:cstheme="minorHAnsi"/>
        </w:rPr>
        <w:t>References</w:t>
      </w:r>
    </w:p>
    <w:p w14:paraId="6EF94F1B" w14:textId="7AAD8468" w:rsidR="00770A15" w:rsidRDefault="00770A15" w:rsidP="00770A15">
      <w:pPr>
        <w:jc w:val="center"/>
        <w:rPr>
          <w:rFonts w:asciiTheme="minorHAnsi" w:hAnsiTheme="minorHAnsi" w:cstheme="minorHAnsi"/>
        </w:rPr>
      </w:pPr>
    </w:p>
    <w:p w14:paraId="428D7870" w14:textId="286417BC" w:rsidR="00B43CB4" w:rsidRDefault="00B43CB4" w:rsidP="00B43CB4">
      <w:pPr>
        <w:rPr>
          <w:rFonts w:cstheme="minorHAnsi"/>
          <w:color w:val="000000"/>
        </w:rPr>
      </w:pPr>
      <w:r>
        <w:rPr>
          <w:rFonts w:asciiTheme="minorHAnsi" w:hAnsiTheme="minorHAnsi" w:cstheme="minorHAnsi"/>
        </w:rPr>
        <w:t xml:space="preserve">Arizona Department of Education.  (2016, Dec 16).  Arizona Mathematics Standards.  </w:t>
      </w:r>
      <w:r>
        <w:rPr>
          <w:rFonts w:cstheme="minorHAnsi"/>
          <w:color w:val="000000"/>
        </w:rPr>
        <w:t>Retrieved from</w:t>
      </w:r>
      <w:r>
        <w:rPr>
          <w:rFonts w:cstheme="minorHAnsi"/>
        </w:rPr>
        <w:t xml:space="preserve"> </w:t>
      </w:r>
      <w:hyperlink r:id="rId16" w:history="1">
        <w:r w:rsidRPr="00064A07">
          <w:rPr>
            <w:rStyle w:val="Hyperlink"/>
            <w:rFonts w:cstheme="minorHAnsi"/>
          </w:rPr>
          <w:t>http://www.azed.gov/standards-practices/k-12standards/mathematics-standards/</w:t>
        </w:r>
      </w:hyperlink>
      <w:r>
        <w:rPr>
          <w:rFonts w:cstheme="minorHAnsi"/>
          <w:color w:val="000000"/>
        </w:rPr>
        <w:t>.</w:t>
      </w:r>
    </w:p>
    <w:p w14:paraId="0859EDC1" w14:textId="0015AFEF" w:rsidR="00B43CB4" w:rsidRDefault="00B43CB4" w:rsidP="00B43CB4">
      <w:pPr>
        <w:rPr>
          <w:rFonts w:cstheme="minorHAnsi"/>
          <w:color w:val="000000"/>
        </w:rPr>
      </w:pPr>
    </w:p>
    <w:p w14:paraId="57D26242"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Horn, L., &amp; Nunez, A. (2000). </w:t>
      </w:r>
      <w:r w:rsidRPr="00B21D9B">
        <w:rPr>
          <w:rFonts w:asciiTheme="minorHAnsi" w:hAnsiTheme="minorHAnsi" w:cstheme="minorHAnsi"/>
          <w:i/>
          <w:color w:val="000000"/>
        </w:rPr>
        <w:t>Mapping the road to college:  First-generation students’ math track, planning strategies, and context of support</w:t>
      </w:r>
      <w:r w:rsidRPr="00B21D9B">
        <w:rPr>
          <w:rFonts w:asciiTheme="minorHAnsi" w:hAnsiTheme="minorHAnsi" w:cstheme="minorHAnsi"/>
          <w:color w:val="000000"/>
        </w:rPr>
        <w:t xml:space="preserve"> (NCES 2000-153).  </w:t>
      </w:r>
      <w:smartTag w:uri="urn:schemas-microsoft-com:office:smarttags" w:element="City">
        <w:r w:rsidRPr="00B21D9B">
          <w:rPr>
            <w:rFonts w:asciiTheme="minorHAnsi" w:hAnsiTheme="minorHAnsi" w:cstheme="minorHAnsi"/>
            <w:color w:val="000000"/>
          </w:rPr>
          <w:t>Washington</w:t>
        </w:r>
      </w:smartTag>
      <w:r w:rsidRPr="00B21D9B">
        <w:rPr>
          <w:rFonts w:asciiTheme="minorHAnsi" w:hAnsiTheme="minorHAnsi" w:cstheme="minorHAnsi"/>
          <w:color w:val="000000"/>
        </w:rPr>
        <w:t xml:space="preserve">, </w:t>
      </w:r>
      <w:smartTag w:uri="urn:schemas-microsoft-com:office:smarttags" w:element="State">
        <w:r w:rsidRPr="00B21D9B">
          <w:rPr>
            <w:rFonts w:asciiTheme="minorHAnsi" w:hAnsiTheme="minorHAnsi" w:cstheme="minorHAnsi"/>
            <w:color w:val="000000"/>
          </w:rPr>
          <w:t>DC</w:t>
        </w:r>
      </w:smartTag>
      <w:r w:rsidRPr="00B21D9B">
        <w:rPr>
          <w:rFonts w:asciiTheme="minorHAnsi" w:hAnsiTheme="minorHAnsi" w:cstheme="minorHAnsi"/>
          <w:color w:val="000000"/>
        </w:rPr>
        <w:t xml:space="preserve">:  </w:t>
      </w:r>
      <w:smartTag w:uri="urn:schemas-microsoft-com:office:smarttags" w:element="place">
        <w:smartTag w:uri="urn:schemas-microsoft-com:office:smarttags" w:element="country-region">
          <w:r w:rsidRPr="00B21D9B">
            <w:rPr>
              <w:rFonts w:asciiTheme="minorHAnsi" w:hAnsiTheme="minorHAnsi" w:cstheme="minorHAnsi"/>
              <w:color w:val="000000"/>
            </w:rPr>
            <w:t>U.S.</w:t>
          </w:r>
        </w:smartTag>
      </w:smartTag>
      <w:r w:rsidRPr="00B21D9B">
        <w:rPr>
          <w:rFonts w:asciiTheme="minorHAnsi" w:hAnsiTheme="minorHAnsi" w:cstheme="minorHAnsi"/>
          <w:color w:val="000000"/>
        </w:rPr>
        <w:t xml:space="preserve"> Department of Education.</w:t>
      </w:r>
    </w:p>
    <w:p w14:paraId="3D1055F1"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Horowitz, J.E. (2005).  </w:t>
      </w:r>
      <w:r w:rsidRPr="00B21D9B">
        <w:rPr>
          <w:rFonts w:asciiTheme="minorHAnsi" w:hAnsiTheme="minorHAnsi" w:cstheme="minorHAnsi"/>
          <w:i/>
          <w:color w:val="000000"/>
        </w:rPr>
        <w:t>Inside high school reform:  Making the Changes that Matter.</w:t>
      </w:r>
      <w:r w:rsidRPr="00B21D9B">
        <w:rPr>
          <w:rFonts w:asciiTheme="minorHAnsi" w:hAnsiTheme="minorHAnsi" w:cstheme="minorHAnsi"/>
          <w:color w:val="000000"/>
        </w:rPr>
        <w:t xml:space="preserve"> </w:t>
      </w:r>
      <w:smartTag w:uri="urn:schemas-microsoft-com:office:smarttags" w:element="place">
        <w:smartTag w:uri="urn:schemas-microsoft-com:office:smarttags" w:element="City">
          <w:r w:rsidRPr="00B21D9B">
            <w:rPr>
              <w:rFonts w:asciiTheme="minorHAnsi" w:hAnsiTheme="minorHAnsi" w:cstheme="minorHAnsi"/>
              <w:color w:val="000000"/>
            </w:rPr>
            <w:t>San Francisco</w:t>
          </w:r>
        </w:smartTag>
      </w:smartTag>
      <w:r w:rsidRPr="00B21D9B">
        <w:rPr>
          <w:rFonts w:asciiTheme="minorHAnsi" w:hAnsiTheme="minorHAnsi" w:cstheme="minorHAnsi"/>
          <w:color w:val="000000"/>
        </w:rPr>
        <w:t>:  WestEd.</w:t>
      </w:r>
    </w:p>
    <w:p w14:paraId="36BDE1D5" w14:textId="3CC28983" w:rsid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Ma, X., &amp;  Wilkins, J. (2007).  Mathematics coursework regulates growth in mathematics achievement.  </w:t>
      </w:r>
      <w:r w:rsidRPr="00B21D9B">
        <w:rPr>
          <w:rFonts w:asciiTheme="minorHAnsi" w:hAnsiTheme="minorHAnsi" w:cstheme="minorHAnsi"/>
          <w:i/>
          <w:color w:val="000000"/>
        </w:rPr>
        <w:t>Journal for Research in Mathematics,</w:t>
      </w:r>
      <w:r w:rsidRPr="00B21D9B">
        <w:rPr>
          <w:rFonts w:asciiTheme="minorHAnsi" w:hAnsiTheme="minorHAnsi" w:cstheme="minorHAnsi"/>
          <w:color w:val="000000"/>
        </w:rPr>
        <w:t xml:space="preserve"> 31. 454-482.</w:t>
      </w:r>
    </w:p>
    <w:p w14:paraId="119D2153" w14:textId="6015F759" w:rsid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National Council of Teachers of Mathematics, (2000).  </w:t>
      </w:r>
      <w:r w:rsidRPr="00B21D9B">
        <w:rPr>
          <w:rFonts w:asciiTheme="minorHAnsi" w:hAnsiTheme="minorHAnsi" w:cstheme="minorHAnsi"/>
          <w:i/>
          <w:iCs/>
          <w:color w:val="000000"/>
        </w:rPr>
        <w:t>Principles and standards for school mathematics</w:t>
      </w:r>
      <w:r w:rsidRPr="00B21D9B">
        <w:rPr>
          <w:rFonts w:asciiTheme="minorHAnsi" w:hAnsiTheme="minorHAnsi" w:cstheme="minorHAnsi"/>
          <w:color w:val="000000"/>
        </w:rPr>
        <w:t xml:space="preserve">, NCTM: </w:t>
      </w:r>
      <w:smartTag w:uri="urn:schemas-microsoft-com:office:smarttags" w:element="City">
        <w:r w:rsidRPr="00B21D9B">
          <w:rPr>
            <w:rFonts w:asciiTheme="minorHAnsi" w:hAnsiTheme="minorHAnsi" w:cstheme="minorHAnsi"/>
            <w:color w:val="000000"/>
          </w:rPr>
          <w:t>Reston</w:t>
        </w:r>
      </w:smartTag>
      <w:r w:rsidRPr="00B21D9B">
        <w:rPr>
          <w:rFonts w:asciiTheme="minorHAnsi" w:hAnsiTheme="minorHAnsi" w:cstheme="minorHAnsi"/>
          <w:color w:val="000000"/>
        </w:rPr>
        <w:t>, VA.</w:t>
      </w:r>
    </w:p>
    <w:p w14:paraId="45BEFF7A" w14:textId="1ECC13CA" w:rsid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Pr>
          <w:rFonts w:asciiTheme="minorHAnsi" w:hAnsiTheme="minorHAnsi" w:cstheme="minorHAnsi"/>
          <w:color w:val="000000"/>
        </w:rPr>
        <w:t>National Council of Teachers of Mathematics, (2014</w:t>
      </w:r>
      <w:r w:rsidRPr="00B21D9B">
        <w:rPr>
          <w:rFonts w:asciiTheme="minorHAnsi" w:hAnsiTheme="minorHAnsi" w:cstheme="minorHAnsi"/>
          <w:i/>
          <w:color w:val="000000"/>
        </w:rPr>
        <w:t xml:space="preserve">).  Principles to Actions:  Ensuring Mathematical </w:t>
      </w:r>
      <w:r>
        <w:rPr>
          <w:rFonts w:asciiTheme="minorHAnsi" w:hAnsiTheme="minorHAnsi" w:cstheme="minorHAnsi"/>
          <w:i/>
          <w:color w:val="000000"/>
        </w:rPr>
        <w:t>S</w:t>
      </w:r>
      <w:r w:rsidRPr="00B21D9B">
        <w:rPr>
          <w:rFonts w:asciiTheme="minorHAnsi" w:hAnsiTheme="minorHAnsi" w:cstheme="minorHAnsi"/>
          <w:i/>
          <w:color w:val="000000"/>
        </w:rPr>
        <w:t>uccess for All</w:t>
      </w:r>
      <w:r>
        <w:rPr>
          <w:rFonts w:asciiTheme="minorHAnsi" w:hAnsiTheme="minorHAnsi" w:cstheme="minorHAnsi"/>
          <w:color w:val="000000"/>
        </w:rPr>
        <w:t xml:space="preserve">, NCTM:  Reston, VA.  </w:t>
      </w:r>
    </w:p>
    <w:p w14:paraId="5F9FD5C4" w14:textId="7C85A7EA"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Pr>
          <w:rFonts w:asciiTheme="minorHAnsi" w:hAnsiTheme="minorHAnsi" w:cstheme="minorHAnsi"/>
          <w:color w:val="000000"/>
        </w:rPr>
        <w:t xml:space="preserve">National Council of Teachers of Mathematics, (2018).  </w:t>
      </w:r>
      <w:r w:rsidRPr="00B21D9B">
        <w:rPr>
          <w:rFonts w:asciiTheme="minorHAnsi" w:hAnsiTheme="minorHAnsi" w:cstheme="minorHAnsi"/>
          <w:i/>
          <w:color w:val="000000"/>
        </w:rPr>
        <w:t>Catalyzing Change in High School Mathematics</w:t>
      </w:r>
      <w:r>
        <w:rPr>
          <w:rFonts w:asciiTheme="minorHAnsi" w:hAnsiTheme="minorHAnsi" w:cstheme="minorHAnsi"/>
          <w:i/>
          <w:color w:val="000000"/>
        </w:rPr>
        <w:t>:  Initiating Critical Conversations</w:t>
      </w:r>
      <w:r>
        <w:rPr>
          <w:rFonts w:asciiTheme="minorHAnsi" w:hAnsiTheme="minorHAnsi" w:cstheme="minorHAnsi"/>
          <w:color w:val="000000"/>
        </w:rPr>
        <w:t>, NCTM:  Reston, VA.</w:t>
      </w:r>
    </w:p>
    <w:p w14:paraId="54141EC1"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National Mathematics Advisory Panel (2008).  </w:t>
      </w:r>
      <w:r w:rsidRPr="00B21D9B">
        <w:rPr>
          <w:rFonts w:asciiTheme="minorHAnsi" w:hAnsiTheme="minorHAnsi" w:cstheme="minorHAnsi"/>
          <w:i/>
          <w:color w:val="000000"/>
        </w:rPr>
        <w:t>Foundations for Success:  The Final Report of the National Mathematics Advisory Panel.</w:t>
      </w:r>
      <w:r w:rsidRPr="00B21D9B">
        <w:rPr>
          <w:rFonts w:asciiTheme="minorHAnsi" w:hAnsiTheme="minorHAnsi" w:cstheme="minorHAnsi"/>
          <w:color w:val="000000"/>
        </w:rPr>
        <w:t xml:space="preserve">  </w:t>
      </w:r>
      <w:smartTag w:uri="urn:schemas-microsoft-com:office:smarttags" w:element="country-region">
        <w:r w:rsidRPr="00B21D9B">
          <w:rPr>
            <w:rFonts w:asciiTheme="minorHAnsi" w:hAnsiTheme="minorHAnsi" w:cstheme="minorHAnsi"/>
            <w:color w:val="000000"/>
          </w:rPr>
          <w:t>U.S.</w:t>
        </w:r>
      </w:smartTag>
      <w:r w:rsidRPr="00B21D9B">
        <w:rPr>
          <w:rFonts w:asciiTheme="minorHAnsi" w:hAnsiTheme="minorHAnsi" w:cstheme="minorHAnsi"/>
          <w:color w:val="000000"/>
        </w:rPr>
        <w:t xml:space="preserve"> Department of Education:  </w:t>
      </w:r>
      <w:smartTag w:uri="urn:schemas-microsoft-com:office:smarttags" w:element="place">
        <w:smartTag w:uri="urn:schemas-microsoft-com:office:smarttags" w:element="City">
          <w:r w:rsidRPr="00B21D9B">
            <w:rPr>
              <w:rFonts w:asciiTheme="minorHAnsi" w:hAnsiTheme="minorHAnsi" w:cstheme="minorHAnsi"/>
              <w:color w:val="000000"/>
            </w:rPr>
            <w:t>Washington</w:t>
          </w:r>
        </w:smartTag>
        <w:r w:rsidRPr="00B21D9B">
          <w:rPr>
            <w:rFonts w:asciiTheme="minorHAnsi" w:hAnsiTheme="minorHAnsi" w:cstheme="minorHAnsi"/>
            <w:color w:val="000000"/>
          </w:rPr>
          <w:t xml:space="preserve">, </w:t>
        </w:r>
        <w:smartTag w:uri="urn:schemas-microsoft-com:office:smarttags" w:element="State">
          <w:r w:rsidRPr="00B21D9B">
            <w:rPr>
              <w:rFonts w:asciiTheme="minorHAnsi" w:hAnsiTheme="minorHAnsi" w:cstheme="minorHAnsi"/>
              <w:color w:val="000000"/>
            </w:rPr>
            <w:t>DC</w:t>
          </w:r>
        </w:smartTag>
      </w:smartTag>
      <w:r w:rsidRPr="00B21D9B">
        <w:rPr>
          <w:rFonts w:asciiTheme="minorHAnsi" w:hAnsiTheme="minorHAnsi" w:cstheme="minorHAnsi"/>
          <w:color w:val="000000"/>
        </w:rPr>
        <w:t xml:space="preserve">. </w:t>
      </w:r>
    </w:p>
    <w:p w14:paraId="22ECB565"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National Research Council (1989).  </w:t>
      </w:r>
      <w:r w:rsidRPr="00B21D9B">
        <w:rPr>
          <w:rFonts w:asciiTheme="minorHAnsi" w:hAnsiTheme="minorHAnsi" w:cstheme="minorHAnsi"/>
          <w:i/>
          <w:color w:val="000000"/>
        </w:rPr>
        <w:t>Everybody counts:  A report to the nation on the future of mathematics education.</w:t>
      </w:r>
      <w:r w:rsidRPr="00B21D9B">
        <w:rPr>
          <w:rFonts w:asciiTheme="minorHAnsi" w:hAnsiTheme="minorHAnsi" w:cstheme="minorHAnsi"/>
          <w:color w:val="000000"/>
        </w:rPr>
        <w:t xml:space="preserve"> </w:t>
      </w:r>
      <w:smartTag w:uri="urn:schemas-microsoft-com:office:smarttags" w:element="place">
        <w:smartTag w:uri="urn:schemas-microsoft-com:office:smarttags" w:element="City">
          <w:r w:rsidRPr="00B21D9B">
            <w:rPr>
              <w:rFonts w:asciiTheme="minorHAnsi" w:hAnsiTheme="minorHAnsi" w:cstheme="minorHAnsi"/>
              <w:color w:val="000000"/>
            </w:rPr>
            <w:t>Washington</w:t>
          </w:r>
        </w:smartTag>
        <w:r w:rsidRPr="00B21D9B">
          <w:rPr>
            <w:rFonts w:asciiTheme="minorHAnsi" w:hAnsiTheme="minorHAnsi" w:cstheme="minorHAnsi"/>
            <w:color w:val="000000"/>
          </w:rPr>
          <w:t xml:space="preserve">, </w:t>
        </w:r>
        <w:smartTag w:uri="urn:schemas-microsoft-com:office:smarttags" w:element="State">
          <w:r w:rsidRPr="00B21D9B">
            <w:rPr>
              <w:rFonts w:asciiTheme="minorHAnsi" w:hAnsiTheme="minorHAnsi" w:cstheme="minorHAnsi"/>
              <w:color w:val="000000"/>
            </w:rPr>
            <w:t>D.C.</w:t>
          </w:r>
        </w:smartTag>
      </w:smartTag>
      <w:r w:rsidRPr="00B21D9B">
        <w:rPr>
          <w:rFonts w:asciiTheme="minorHAnsi" w:hAnsiTheme="minorHAnsi" w:cstheme="minorHAnsi"/>
          <w:color w:val="000000"/>
        </w:rPr>
        <w:t>, National Academies Press.</w:t>
      </w:r>
    </w:p>
    <w:p w14:paraId="6DF7B104"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r w:rsidRPr="00B21D9B">
        <w:rPr>
          <w:rFonts w:asciiTheme="minorHAnsi" w:hAnsiTheme="minorHAnsi" w:cstheme="minorHAnsi"/>
          <w:color w:val="000000"/>
        </w:rPr>
        <w:t xml:space="preserve">National Research Council (2002).  </w:t>
      </w:r>
      <w:r w:rsidRPr="00B21D9B">
        <w:rPr>
          <w:rFonts w:asciiTheme="minorHAnsi" w:hAnsiTheme="minorHAnsi" w:cstheme="minorHAnsi"/>
          <w:i/>
          <w:color w:val="000000"/>
        </w:rPr>
        <w:t>Scientific Research in Education.</w:t>
      </w:r>
      <w:r w:rsidRPr="00B21D9B">
        <w:rPr>
          <w:rFonts w:asciiTheme="minorHAnsi" w:hAnsiTheme="minorHAnsi" w:cstheme="minorHAnsi"/>
          <w:color w:val="000000"/>
        </w:rPr>
        <w:t xml:space="preserve"> </w:t>
      </w:r>
      <w:smartTag w:uri="urn:schemas-microsoft-com:office:smarttags" w:element="place">
        <w:smartTag w:uri="urn:schemas-microsoft-com:office:smarttags" w:element="State">
          <w:r w:rsidRPr="00B21D9B">
            <w:rPr>
              <w:rFonts w:asciiTheme="minorHAnsi" w:hAnsiTheme="minorHAnsi" w:cstheme="minorHAnsi"/>
              <w:color w:val="000000"/>
            </w:rPr>
            <w:t>Washington</w:t>
          </w:r>
        </w:smartTag>
      </w:smartTag>
      <w:r w:rsidRPr="00B21D9B">
        <w:rPr>
          <w:rFonts w:asciiTheme="minorHAnsi" w:hAnsiTheme="minorHAnsi" w:cstheme="minorHAnsi"/>
          <w:color w:val="000000"/>
        </w:rPr>
        <w:t>, D.C, National Academies Press.</w:t>
      </w:r>
    </w:p>
    <w:p w14:paraId="0E222B4E" w14:textId="77777777" w:rsidR="00B21D9B" w:rsidRPr="00B21D9B" w:rsidRDefault="00B21D9B" w:rsidP="00B21D9B">
      <w:pPr>
        <w:widowControl w:val="0"/>
        <w:autoSpaceDE w:val="0"/>
        <w:autoSpaceDN w:val="0"/>
        <w:adjustRightInd w:val="0"/>
        <w:spacing w:after="120"/>
        <w:ind w:left="360" w:hanging="432"/>
        <w:rPr>
          <w:rFonts w:asciiTheme="minorHAnsi" w:hAnsiTheme="minorHAnsi" w:cstheme="minorHAnsi"/>
          <w:color w:val="000000"/>
        </w:rPr>
      </w:pPr>
    </w:p>
    <w:p w14:paraId="5B0B1ABF" w14:textId="77777777" w:rsidR="00B43CB4" w:rsidRDefault="00B43CB4" w:rsidP="00B43CB4">
      <w:pPr>
        <w:rPr>
          <w:rFonts w:cstheme="minorHAnsi"/>
          <w:color w:val="000000"/>
        </w:rPr>
      </w:pPr>
    </w:p>
    <w:p w14:paraId="6DBD86AF" w14:textId="1AB9A785" w:rsidR="00770A15" w:rsidRDefault="00770A15" w:rsidP="00B43CB4"/>
    <w:sectPr w:rsidR="00770A15" w:rsidSect="005B308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9C231" w14:textId="77777777" w:rsidR="00D23DF3" w:rsidRDefault="00D23DF3" w:rsidP="00890ABC">
      <w:r>
        <w:separator/>
      </w:r>
    </w:p>
  </w:endnote>
  <w:endnote w:type="continuationSeparator" w:id="0">
    <w:p w14:paraId="6E447E19" w14:textId="77777777" w:rsidR="00D23DF3" w:rsidRDefault="00D23DF3" w:rsidP="0089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C52C" w14:textId="6B746300" w:rsidR="00CF3607" w:rsidRPr="00CF3607" w:rsidRDefault="00CF3607">
    <w:pPr>
      <w:pStyle w:val="Footer"/>
      <w:rPr>
        <w:rFonts w:asciiTheme="minorHAnsi" w:hAnsiTheme="minorHAnsi" w:cstheme="minorHAnsi"/>
      </w:rPr>
    </w:pPr>
    <w:r w:rsidRPr="00CF3607">
      <w:rPr>
        <w:rFonts w:asciiTheme="minorHAnsi" w:hAnsiTheme="minorHAnsi" w:cstheme="minorHAnsi"/>
      </w:rPr>
      <w:t>September 2018</w:t>
    </w:r>
  </w:p>
  <w:p w14:paraId="60276283" w14:textId="77777777" w:rsidR="00C96700" w:rsidRDefault="00C9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3153C" w14:textId="77777777" w:rsidR="00D23DF3" w:rsidRDefault="00D23DF3" w:rsidP="00890ABC">
      <w:r>
        <w:separator/>
      </w:r>
    </w:p>
  </w:footnote>
  <w:footnote w:type="continuationSeparator" w:id="0">
    <w:p w14:paraId="1FD58920" w14:textId="77777777" w:rsidR="00D23DF3" w:rsidRDefault="00D23DF3" w:rsidP="00890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8D3"/>
    <w:multiLevelType w:val="hybridMultilevel"/>
    <w:tmpl w:val="5FDA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2622C"/>
    <w:multiLevelType w:val="hybridMultilevel"/>
    <w:tmpl w:val="F2427940"/>
    <w:lvl w:ilvl="0" w:tplc="0A9C431A">
      <w:start w:val="1"/>
      <w:numFmt w:val="bullet"/>
      <w:lvlText w:val="•"/>
      <w:lvlJc w:val="left"/>
      <w:pPr>
        <w:tabs>
          <w:tab w:val="num" w:pos="720"/>
        </w:tabs>
        <w:ind w:left="720" w:hanging="360"/>
      </w:pPr>
      <w:rPr>
        <w:rFonts w:ascii="Arial" w:hAnsi="Arial" w:hint="default"/>
      </w:rPr>
    </w:lvl>
    <w:lvl w:ilvl="1" w:tplc="91367042">
      <w:start w:val="613"/>
      <w:numFmt w:val="bullet"/>
      <w:lvlText w:val="–"/>
      <w:lvlJc w:val="left"/>
      <w:pPr>
        <w:tabs>
          <w:tab w:val="num" w:pos="1440"/>
        </w:tabs>
        <w:ind w:left="1440" w:hanging="360"/>
      </w:pPr>
      <w:rPr>
        <w:rFonts w:ascii="Arial" w:hAnsi="Arial" w:hint="default"/>
      </w:rPr>
    </w:lvl>
    <w:lvl w:ilvl="2" w:tplc="11F8B52A">
      <w:start w:val="1"/>
      <w:numFmt w:val="bullet"/>
      <w:lvlText w:val="•"/>
      <w:lvlJc w:val="left"/>
      <w:pPr>
        <w:tabs>
          <w:tab w:val="num" w:pos="2160"/>
        </w:tabs>
        <w:ind w:left="2160" w:hanging="360"/>
      </w:pPr>
      <w:rPr>
        <w:rFonts w:ascii="Arial" w:hAnsi="Arial" w:hint="default"/>
      </w:rPr>
    </w:lvl>
    <w:lvl w:ilvl="3" w:tplc="AA4A5876" w:tentative="1">
      <w:start w:val="1"/>
      <w:numFmt w:val="bullet"/>
      <w:lvlText w:val="•"/>
      <w:lvlJc w:val="left"/>
      <w:pPr>
        <w:tabs>
          <w:tab w:val="num" w:pos="2880"/>
        </w:tabs>
        <w:ind w:left="2880" w:hanging="360"/>
      </w:pPr>
      <w:rPr>
        <w:rFonts w:ascii="Arial" w:hAnsi="Arial" w:hint="default"/>
      </w:rPr>
    </w:lvl>
    <w:lvl w:ilvl="4" w:tplc="2D14B0DE" w:tentative="1">
      <w:start w:val="1"/>
      <w:numFmt w:val="bullet"/>
      <w:lvlText w:val="•"/>
      <w:lvlJc w:val="left"/>
      <w:pPr>
        <w:tabs>
          <w:tab w:val="num" w:pos="3600"/>
        </w:tabs>
        <w:ind w:left="3600" w:hanging="360"/>
      </w:pPr>
      <w:rPr>
        <w:rFonts w:ascii="Arial" w:hAnsi="Arial" w:hint="default"/>
      </w:rPr>
    </w:lvl>
    <w:lvl w:ilvl="5" w:tplc="C92AC8FE" w:tentative="1">
      <w:start w:val="1"/>
      <w:numFmt w:val="bullet"/>
      <w:lvlText w:val="•"/>
      <w:lvlJc w:val="left"/>
      <w:pPr>
        <w:tabs>
          <w:tab w:val="num" w:pos="4320"/>
        </w:tabs>
        <w:ind w:left="4320" w:hanging="360"/>
      </w:pPr>
      <w:rPr>
        <w:rFonts w:ascii="Arial" w:hAnsi="Arial" w:hint="default"/>
      </w:rPr>
    </w:lvl>
    <w:lvl w:ilvl="6" w:tplc="380EF8FC" w:tentative="1">
      <w:start w:val="1"/>
      <w:numFmt w:val="bullet"/>
      <w:lvlText w:val="•"/>
      <w:lvlJc w:val="left"/>
      <w:pPr>
        <w:tabs>
          <w:tab w:val="num" w:pos="5040"/>
        </w:tabs>
        <w:ind w:left="5040" w:hanging="360"/>
      </w:pPr>
      <w:rPr>
        <w:rFonts w:ascii="Arial" w:hAnsi="Arial" w:hint="default"/>
      </w:rPr>
    </w:lvl>
    <w:lvl w:ilvl="7" w:tplc="6AB41642" w:tentative="1">
      <w:start w:val="1"/>
      <w:numFmt w:val="bullet"/>
      <w:lvlText w:val="•"/>
      <w:lvlJc w:val="left"/>
      <w:pPr>
        <w:tabs>
          <w:tab w:val="num" w:pos="5760"/>
        </w:tabs>
        <w:ind w:left="5760" w:hanging="360"/>
      </w:pPr>
      <w:rPr>
        <w:rFonts w:ascii="Arial" w:hAnsi="Arial" w:hint="default"/>
      </w:rPr>
    </w:lvl>
    <w:lvl w:ilvl="8" w:tplc="4FC0F9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2D2327"/>
    <w:multiLevelType w:val="hybridMultilevel"/>
    <w:tmpl w:val="607C0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8D"/>
    <w:rsid w:val="00007259"/>
    <w:rsid w:val="00015FD0"/>
    <w:rsid w:val="000474F1"/>
    <w:rsid w:val="000759F7"/>
    <w:rsid w:val="0009169F"/>
    <w:rsid w:val="000A2798"/>
    <w:rsid w:val="000A3DD2"/>
    <w:rsid w:val="000F57AD"/>
    <w:rsid w:val="00114BF1"/>
    <w:rsid w:val="00172019"/>
    <w:rsid w:val="0017570E"/>
    <w:rsid w:val="001C2613"/>
    <w:rsid w:val="001D5787"/>
    <w:rsid w:val="001D7BFD"/>
    <w:rsid w:val="001E40C5"/>
    <w:rsid w:val="001F3155"/>
    <w:rsid w:val="00202B1F"/>
    <w:rsid w:val="002259DF"/>
    <w:rsid w:val="00226442"/>
    <w:rsid w:val="00227E22"/>
    <w:rsid w:val="00235BC7"/>
    <w:rsid w:val="00236DC7"/>
    <w:rsid w:val="003242D1"/>
    <w:rsid w:val="003567F9"/>
    <w:rsid w:val="00375F3F"/>
    <w:rsid w:val="003B3311"/>
    <w:rsid w:val="003E1295"/>
    <w:rsid w:val="004019BE"/>
    <w:rsid w:val="004426A1"/>
    <w:rsid w:val="004959DC"/>
    <w:rsid w:val="004A7F45"/>
    <w:rsid w:val="004C2E5E"/>
    <w:rsid w:val="004C3EF5"/>
    <w:rsid w:val="004C7664"/>
    <w:rsid w:val="004F31C3"/>
    <w:rsid w:val="004F61BC"/>
    <w:rsid w:val="004F79E8"/>
    <w:rsid w:val="00515B0E"/>
    <w:rsid w:val="00530AE1"/>
    <w:rsid w:val="00552A36"/>
    <w:rsid w:val="00590694"/>
    <w:rsid w:val="005B308D"/>
    <w:rsid w:val="005C0895"/>
    <w:rsid w:val="005C0B44"/>
    <w:rsid w:val="00600CFA"/>
    <w:rsid w:val="00612A02"/>
    <w:rsid w:val="00656777"/>
    <w:rsid w:val="006979E1"/>
    <w:rsid w:val="006B2948"/>
    <w:rsid w:val="006B3AE9"/>
    <w:rsid w:val="006D003D"/>
    <w:rsid w:val="007600FE"/>
    <w:rsid w:val="00770A15"/>
    <w:rsid w:val="00775AF3"/>
    <w:rsid w:val="00781BEB"/>
    <w:rsid w:val="007841A3"/>
    <w:rsid w:val="00785614"/>
    <w:rsid w:val="007874F2"/>
    <w:rsid w:val="008124B7"/>
    <w:rsid w:val="008165A2"/>
    <w:rsid w:val="008200FE"/>
    <w:rsid w:val="0087001D"/>
    <w:rsid w:val="00890ABC"/>
    <w:rsid w:val="008B2223"/>
    <w:rsid w:val="008B69C1"/>
    <w:rsid w:val="008C2BCE"/>
    <w:rsid w:val="008D197A"/>
    <w:rsid w:val="00901C1D"/>
    <w:rsid w:val="009542CF"/>
    <w:rsid w:val="00991E62"/>
    <w:rsid w:val="009A07A1"/>
    <w:rsid w:val="009B043C"/>
    <w:rsid w:val="00A71F8C"/>
    <w:rsid w:val="00A973DE"/>
    <w:rsid w:val="00B00451"/>
    <w:rsid w:val="00B21D9B"/>
    <w:rsid w:val="00B43CB4"/>
    <w:rsid w:val="00BF4685"/>
    <w:rsid w:val="00C04601"/>
    <w:rsid w:val="00C55A3F"/>
    <w:rsid w:val="00C7690C"/>
    <w:rsid w:val="00C76E20"/>
    <w:rsid w:val="00C96700"/>
    <w:rsid w:val="00CF3607"/>
    <w:rsid w:val="00D0181F"/>
    <w:rsid w:val="00D23DF3"/>
    <w:rsid w:val="00D26F55"/>
    <w:rsid w:val="00DD33ED"/>
    <w:rsid w:val="00E06FBB"/>
    <w:rsid w:val="00E15D41"/>
    <w:rsid w:val="00E542E5"/>
    <w:rsid w:val="00E65548"/>
    <w:rsid w:val="00E9769B"/>
    <w:rsid w:val="00F13AE8"/>
    <w:rsid w:val="00F1533C"/>
    <w:rsid w:val="00F37D04"/>
    <w:rsid w:val="00F44058"/>
    <w:rsid w:val="00F80722"/>
    <w:rsid w:val="00F924E5"/>
    <w:rsid w:val="00FB5CC5"/>
    <w:rsid w:val="00FC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1701A2D"/>
  <w15:chartTrackingRefBased/>
  <w15:docId w15:val="{9BD91CCB-EC5B-4B68-A7E0-B7427C0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0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308D"/>
    <w:pPr>
      <w:keepNext/>
      <w:jc w:val="center"/>
      <w:outlineLvl w:val="0"/>
    </w:pPr>
    <w:rPr>
      <w:b/>
      <w:bCs/>
      <w:caps/>
      <w:lang w:val="x-none" w:eastAsia="x-none"/>
    </w:rPr>
  </w:style>
  <w:style w:type="paragraph" w:styleId="Heading2">
    <w:name w:val="heading 2"/>
    <w:basedOn w:val="Normal"/>
    <w:next w:val="Normal"/>
    <w:link w:val="Heading2Char"/>
    <w:uiPriority w:val="9"/>
    <w:unhideWhenUsed/>
    <w:qFormat/>
    <w:rsid w:val="005B308D"/>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08D"/>
    <w:rPr>
      <w:rFonts w:ascii="Times New Roman" w:eastAsia="Times New Roman" w:hAnsi="Times New Roman" w:cs="Times New Roman"/>
      <w:b/>
      <w:bCs/>
      <w:caps/>
      <w:sz w:val="24"/>
      <w:szCs w:val="24"/>
      <w:lang w:val="x-none" w:eastAsia="x-none"/>
    </w:rPr>
  </w:style>
  <w:style w:type="character" w:customStyle="1" w:styleId="Heading2Char">
    <w:name w:val="Heading 2 Char"/>
    <w:basedOn w:val="DefaultParagraphFont"/>
    <w:link w:val="Heading2"/>
    <w:uiPriority w:val="9"/>
    <w:rsid w:val="005B308D"/>
    <w:rPr>
      <w:rFonts w:ascii="Cambria" w:eastAsia="Times New Roman" w:hAnsi="Cambria" w:cs="Times New Roman"/>
      <w:b/>
      <w:bCs/>
      <w:color w:val="4F81BD"/>
      <w:sz w:val="26"/>
      <w:szCs w:val="26"/>
    </w:rPr>
  </w:style>
  <w:style w:type="character" w:styleId="PlaceholderText">
    <w:name w:val="Placeholder Text"/>
    <w:uiPriority w:val="99"/>
    <w:semiHidden/>
    <w:rsid w:val="005B308D"/>
    <w:rPr>
      <w:color w:val="808080"/>
    </w:rPr>
  </w:style>
  <w:style w:type="paragraph" w:styleId="Title">
    <w:name w:val="Title"/>
    <w:basedOn w:val="Normal"/>
    <w:next w:val="Normal"/>
    <w:link w:val="TitleChar"/>
    <w:uiPriority w:val="10"/>
    <w:qFormat/>
    <w:rsid w:val="005B308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B308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B308D"/>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5B308D"/>
    <w:rPr>
      <w:rFonts w:ascii="Cambria" w:eastAsia="Times New Roman" w:hAnsi="Cambria" w:cs="Times New Roman"/>
      <w:sz w:val="24"/>
      <w:szCs w:val="24"/>
    </w:rPr>
  </w:style>
  <w:style w:type="character" w:customStyle="1" w:styleId="CoreHeading0Char">
    <w:name w:val="CoreHeading0 Char"/>
    <w:link w:val="CoreHeading0"/>
    <w:locked/>
    <w:rsid w:val="005B308D"/>
    <w:rPr>
      <w:rFonts w:ascii="Calibri" w:hAnsi="Calibri" w:cs="Arial"/>
      <w:b/>
      <w:bCs/>
      <w:sz w:val="36"/>
      <w:szCs w:val="52"/>
    </w:rPr>
  </w:style>
  <w:style w:type="paragraph" w:customStyle="1" w:styleId="CoreHeading0">
    <w:name w:val="CoreHeading0"/>
    <w:basedOn w:val="Normal"/>
    <w:link w:val="CoreHeading0Char"/>
    <w:qFormat/>
    <w:rsid w:val="005B308D"/>
    <w:rPr>
      <w:rFonts w:ascii="Calibri" w:eastAsiaTheme="minorHAnsi" w:hAnsi="Calibri" w:cs="Arial"/>
      <w:b/>
      <w:bCs/>
      <w:sz w:val="36"/>
      <w:szCs w:val="52"/>
    </w:rPr>
  </w:style>
  <w:style w:type="paragraph" w:styleId="Footer">
    <w:name w:val="footer"/>
    <w:basedOn w:val="Normal"/>
    <w:link w:val="FooterChar"/>
    <w:uiPriority w:val="99"/>
    <w:unhideWhenUsed/>
    <w:rsid w:val="005B308D"/>
    <w:pPr>
      <w:tabs>
        <w:tab w:val="center" w:pos="4680"/>
        <w:tab w:val="right" w:pos="9360"/>
      </w:tabs>
    </w:pPr>
  </w:style>
  <w:style w:type="character" w:customStyle="1" w:styleId="FooterChar">
    <w:name w:val="Footer Char"/>
    <w:basedOn w:val="DefaultParagraphFont"/>
    <w:link w:val="Footer"/>
    <w:uiPriority w:val="99"/>
    <w:rsid w:val="005B308D"/>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90ABC"/>
    <w:rPr>
      <w:vertAlign w:val="superscript"/>
    </w:rPr>
  </w:style>
  <w:style w:type="paragraph" w:styleId="ListParagraph">
    <w:name w:val="List Paragraph"/>
    <w:basedOn w:val="Normal"/>
    <w:uiPriority w:val="34"/>
    <w:qFormat/>
    <w:rsid w:val="006D003D"/>
    <w:pPr>
      <w:ind w:left="720"/>
      <w:contextualSpacing/>
    </w:pPr>
  </w:style>
  <w:style w:type="character" w:styleId="Hyperlink">
    <w:name w:val="Hyperlink"/>
    <w:basedOn w:val="DefaultParagraphFont"/>
    <w:uiPriority w:val="99"/>
    <w:unhideWhenUsed/>
    <w:rsid w:val="00590694"/>
    <w:rPr>
      <w:color w:val="0563C1" w:themeColor="hyperlink"/>
      <w:u w:val="single"/>
    </w:rPr>
  </w:style>
  <w:style w:type="character" w:styleId="UnresolvedMention">
    <w:name w:val="Unresolved Mention"/>
    <w:basedOn w:val="DefaultParagraphFont"/>
    <w:uiPriority w:val="99"/>
    <w:semiHidden/>
    <w:unhideWhenUsed/>
    <w:rsid w:val="00590694"/>
    <w:rPr>
      <w:color w:val="808080"/>
      <w:shd w:val="clear" w:color="auto" w:fill="E6E6E6"/>
    </w:rPr>
  </w:style>
  <w:style w:type="table" w:styleId="TableGrid">
    <w:name w:val="Table Grid"/>
    <w:basedOn w:val="TableNormal"/>
    <w:uiPriority w:val="59"/>
    <w:rsid w:val="000F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BC7"/>
    <w:pPr>
      <w:tabs>
        <w:tab w:val="center" w:pos="4680"/>
        <w:tab w:val="right" w:pos="9360"/>
      </w:tabs>
    </w:pPr>
  </w:style>
  <w:style w:type="character" w:customStyle="1" w:styleId="HeaderChar">
    <w:name w:val="Header Char"/>
    <w:basedOn w:val="DefaultParagraphFont"/>
    <w:link w:val="Header"/>
    <w:uiPriority w:val="99"/>
    <w:rsid w:val="00235B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A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26A1"/>
    <w:rPr>
      <w:sz w:val="16"/>
      <w:szCs w:val="16"/>
    </w:rPr>
  </w:style>
  <w:style w:type="paragraph" w:styleId="CommentText">
    <w:name w:val="annotation text"/>
    <w:basedOn w:val="Normal"/>
    <w:link w:val="CommentTextChar"/>
    <w:uiPriority w:val="99"/>
    <w:semiHidden/>
    <w:unhideWhenUsed/>
    <w:rsid w:val="004426A1"/>
    <w:rPr>
      <w:sz w:val="20"/>
      <w:szCs w:val="20"/>
    </w:rPr>
  </w:style>
  <w:style w:type="character" w:customStyle="1" w:styleId="CommentTextChar">
    <w:name w:val="Comment Text Char"/>
    <w:basedOn w:val="DefaultParagraphFont"/>
    <w:link w:val="CommentText"/>
    <w:uiPriority w:val="99"/>
    <w:semiHidden/>
    <w:rsid w:val="00442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6A1"/>
    <w:rPr>
      <w:b/>
      <w:bCs/>
    </w:rPr>
  </w:style>
  <w:style w:type="character" w:customStyle="1" w:styleId="CommentSubjectChar">
    <w:name w:val="Comment Subject Char"/>
    <w:basedOn w:val="CommentTextChar"/>
    <w:link w:val="CommentSubject"/>
    <w:uiPriority w:val="99"/>
    <w:semiHidden/>
    <w:rsid w:val="004426A1"/>
    <w:rPr>
      <w:rFonts w:ascii="Times New Roman" w:eastAsia="Times New Roman" w:hAnsi="Times New Roman" w:cs="Times New Roman"/>
      <w:b/>
      <w:bCs/>
      <w:sz w:val="20"/>
      <w:szCs w:val="20"/>
    </w:rPr>
  </w:style>
  <w:style w:type="paragraph" w:styleId="Revision">
    <w:name w:val="Revision"/>
    <w:hidden/>
    <w:uiPriority w:val="99"/>
    <w:semiHidden/>
    <w:rsid w:val="008C2BC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ztransmac2.asu.edu/cgi-bin/WebObjects/CEG.woa/w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zed.gov/standards-practices/k-12standards/mathematics-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sbe.az.gov/sites/default/files/media/K-8%20and%209-12%20Minimum%20Course%20of%20Study.pdf" TargetMode="External"/><Relationship Id="rId5" Type="http://schemas.openxmlformats.org/officeDocument/2006/relationships/webSettings" Target="webSettings.xml"/><Relationship Id="rId15" Type="http://schemas.openxmlformats.org/officeDocument/2006/relationships/hyperlink" Target="http://www.azed.gov/advanced-placement/" TargetMode="External"/><Relationship Id="rId10" Type="http://schemas.openxmlformats.org/officeDocument/2006/relationships/hyperlink" Target="https://azsbe.az.gov/sites/default/files/media/K-8%20and%209-12%20Minimum%20Course%20of%20Stud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6036-124C-41E2-BC2D-84945B9D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 Suzi</dc:creator>
  <cp:keywords/>
  <dc:description/>
  <cp:lastModifiedBy>Mast, Suzi</cp:lastModifiedBy>
  <cp:revision>7</cp:revision>
  <cp:lastPrinted>2018-05-17T19:47:00Z</cp:lastPrinted>
  <dcterms:created xsi:type="dcterms:W3CDTF">2018-05-03T22:25:00Z</dcterms:created>
  <dcterms:modified xsi:type="dcterms:W3CDTF">2018-09-07T15:34:00Z</dcterms:modified>
</cp:coreProperties>
</file>