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D04" w:rsidRPr="001D12D3" w:rsidRDefault="001D12D3">
      <w:pPr>
        <w:rPr>
          <w:b/>
        </w:rPr>
      </w:pPr>
      <w:r w:rsidRPr="001D12D3">
        <w:rPr>
          <w:b/>
        </w:rPr>
        <w:t>FARROP – Online modules</w:t>
      </w:r>
    </w:p>
    <w:p w:rsidR="001D12D3" w:rsidRDefault="001D12D3">
      <w:r>
        <w:t>The</w:t>
      </w:r>
      <w:r w:rsidR="00720D0A">
        <w:t xml:space="preserve">re are FARROP </w:t>
      </w:r>
      <w:r>
        <w:t>online modules to assist educators with their foundational knowledge around the 10 dimensions of formative assessment.  There are 9 online modules.  The modules begin with an introductory session and continue</w:t>
      </w:r>
      <w:r w:rsidR="00720D0A">
        <w:t xml:space="preserve"> through all dimensions including lessons for reviewing videos and utilizing the rubrics to score the evidence of a dimension you observe.  The modules follow a </w:t>
      </w:r>
      <w:hyperlink r:id="rId4" w:history="1">
        <w:r w:rsidR="00720D0A" w:rsidRPr="00720D0A">
          <w:rPr>
            <w:rStyle w:val="Hyperlink"/>
          </w:rPr>
          <w:t>self-enrollment process</w:t>
        </w:r>
      </w:hyperlink>
      <w:r w:rsidR="00720D0A">
        <w:t xml:space="preserve">.  It is a great idea to review the </w:t>
      </w:r>
      <w:hyperlink r:id="rId5" w:history="1">
        <w:r w:rsidR="00720D0A" w:rsidRPr="00720D0A">
          <w:rPr>
            <w:rStyle w:val="Hyperlink"/>
          </w:rPr>
          <w:t>FARROP Training Courses quick Reference</w:t>
        </w:r>
      </w:hyperlink>
      <w:r w:rsidR="00720D0A">
        <w:t xml:space="preserve"> Handout prior to enrollment.  </w:t>
      </w:r>
    </w:p>
    <w:p w:rsidR="00720D0A" w:rsidRDefault="00720D0A">
      <w:r>
        <w:t>The table provides the course title and the estimated time for completion of each online module.</w:t>
      </w:r>
      <w:bookmarkStart w:id="0" w:name="_GoBack"/>
      <w:bookmarkEnd w:id="0"/>
    </w:p>
    <w:tbl>
      <w:tblPr>
        <w:tblW w:w="7694" w:type="dxa"/>
        <w:tblCellMar>
          <w:left w:w="0" w:type="dxa"/>
          <w:right w:w="0" w:type="dxa"/>
        </w:tblCellMar>
        <w:tblLook w:val="04A0" w:firstRow="1" w:lastRow="0" w:firstColumn="1" w:lastColumn="0" w:noHBand="0" w:noVBand="1"/>
      </w:tblPr>
      <w:tblGrid>
        <w:gridCol w:w="1239"/>
        <w:gridCol w:w="4863"/>
        <w:gridCol w:w="1592"/>
      </w:tblGrid>
      <w:tr w:rsidR="00720D0A" w:rsidTr="00720D0A">
        <w:trPr>
          <w:trHeight w:val="434"/>
        </w:trPr>
        <w:tc>
          <w:tcPr>
            <w:tcW w:w="1239" w:type="dxa"/>
            <w:tcBorders>
              <w:top w:val="single" w:sz="8" w:space="0" w:color="70AD47"/>
              <w:left w:val="single" w:sz="8" w:space="0" w:color="70AD47"/>
              <w:bottom w:val="single" w:sz="8" w:space="0" w:color="70AD47"/>
              <w:right w:val="nil"/>
            </w:tcBorders>
            <w:shd w:val="clear" w:color="auto" w:fill="70AD47"/>
            <w:tcMar>
              <w:top w:w="0" w:type="dxa"/>
              <w:left w:w="108" w:type="dxa"/>
              <w:bottom w:w="0" w:type="dxa"/>
              <w:right w:w="108" w:type="dxa"/>
            </w:tcMar>
            <w:hideMark/>
          </w:tcPr>
          <w:p w:rsidR="00720D0A" w:rsidRDefault="00720D0A" w:rsidP="0077041F">
            <w:pPr>
              <w:jc w:val="center"/>
            </w:pPr>
            <w:r>
              <w:rPr>
                <w:b/>
                <w:bCs/>
                <w:color w:val="FFFFFF"/>
              </w:rPr>
              <w:t>Course Number</w:t>
            </w:r>
          </w:p>
        </w:tc>
        <w:tc>
          <w:tcPr>
            <w:tcW w:w="4863" w:type="dxa"/>
            <w:tcBorders>
              <w:top w:val="single" w:sz="8" w:space="0" w:color="70AD47"/>
              <w:left w:val="nil"/>
              <w:bottom w:val="single" w:sz="8" w:space="0" w:color="70AD47"/>
              <w:right w:val="nil"/>
            </w:tcBorders>
            <w:shd w:val="clear" w:color="auto" w:fill="70AD47"/>
            <w:tcMar>
              <w:top w:w="0" w:type="dxa"/>
              <w:left w:w="108" w:type="dxa"/>
              <w:bottom w:w="0" w:type="dxa"/>
              <w:right w:w="108" w:type="dxa"/>
            </w:tcMar>
            <w:hideMark/>
          </w:tcPr>
          <w:p w:rsidR="00720D0A" w:rsidRDefault="00720D0A" w:rsidP="0077041F">
            <w:pPr>
              <w:jc w:val="center"/>
            </w:pPr>
            <w:r>
              <w:rPr>
                <w:b/>
                <w:bCs/>
                <w:color w:val="FFFFFF"/>
              </w:rPr>
              <w:t>Course Title</w:t>
            </w:r>
          </w:p>
        </w:tc>
        <w:tc>
          <w:tcPr>
            <w:tcW w:w="1592" w:type="dxa"/>
            <w:tcBorders>
              <w:top w:val="single" w:sz="8" w:space="0" w:color="70AD47"/>
              <w:left w:val="nil"/>
              <w:bottom w:val="single" w:sz="8" w:space="0" w:color="70AD47"/>
              <w:right w:val="nil"/>
            </w:tcBorders>
            <w:shd w:val="clear" w:color="auto" w:fill="70AD47"/>
            <w:tcMar>
              <w:top w:w="0" w:type="dxa"/>
              <w:left w:w="108" w:type="dxa"/>
              <w:bottom w:w="0" w:type="dxa"/>
              <w:right w:w="108" w:type="dxa"/>
            </w:tcMar>
            <w:hideMark/>
          </w:tcPr>
          <w:p w:rsidR="00720D0A" w:rsidRDefault="00720D0A" w:rsidP="0077041F">
            <w:pPr>
              <w:jc w:val="center"/>
            </w:pPr>
            <w:r>
              <w:rPr>
                <w:b/>
                <w:bCs/>
                <w:color w:val="FFFFFF"/>
              </w:rPr>
              <w:t>Estimated Time</w:t>
            </w:r>
          </w:p>
        </w:tc>
      </w:tr>
      <w:tr w:rsidR="00720D0A" w:rsidTr="00720D0A">
        <w:trPr>
          <w:trHeight w:val="260"/>
        </w:trPr>
        <w:tc>
          <w:tcPr>
            <w:tcW w:w="1239"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rPr>
                <w:b/>
                <w:bCs/>
              </w:rPr>
              <w:t>1</w:t>
            </w:r>
          </w:p>
        </w:tc>
        <w:tc>
          <w:tcPr>
            <w:tcW w:w="48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Introduction</w:t>
            </w:r>
          </w:p>
        </w:tc>
        <w:tc>
          <w:tcPr>
            <w:tcW w:w="1592"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60 min</w:t>
            </w:r>
          </w:p>
        </w:tc>
      </w:tr>
      <w:tr w:rsidR="00720D0A" w:rsidTr="00720D0A">
        <w:trPr>
          <w:trHeight w:val="260"/>
        </w:trPr>
        <w:tc>
          <w:tcPr>
            <w:tcW w:w="1239" w:type="dxa"/>
            <w:tcBorders>
              <w:top w:val="nil"/>
              <w:left w:val="single" w:sz="8" w:space="0" w:color="A8D08D"/>
              <w:bottom w:val="single" w:sz="8" w:space="0" w:color="A8D08D"/>
              <w:right w:val="single" w:sz="8" w:space="0" w:color="A8D08D"/>
            </w:tcBorders>
            <w:tcMar>
              <w:top w:w="0" w:type="dxa"/>
              <w:left w:w="108" w:type="dxa"/>
              <w:bottom w:w="0" w:type="dxa"/>
              <w:right w:w="108" w:type="dxa"/>
            </w:tcMar>
            <w:hideMark/>
          </w:tcPr>
          <w:p w:rsidR="00720D0A" w:rsidRDefault="00720D0A" w:rsidP="0077041F">
            <w:r>
              <w:rPr>
                <w:b/>
                <w:bCs/>
              </w:rPr>
              <w:t>2</w:t>
            </w:r>
          </w:p>
        </w:tc>
        <w:tc>
          <w:tcPr>
            <w:tcW w:w="4863"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Learning Goals and Criteria for Success</w:t>
            </w:r>
          </w:p>
        </w:tc>
        <w:tc>
          <w:tcPr>
            <w:tcW w:w="1592"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120 min</w:t>
            </w:r>
          </w:p>
        </w:tc>
      </w:tr>
      <w:tr w:rsidR="00720D0A" w:rsidTr="00720D0A">
        <w:trPr>
          <w:trHeight w:val="269"/>
        </w:trPr>
        <w:tc>
          <w:tcPr>
            <w:tcW w:w="1239"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rPr>
                <w:b/>
                <w:bCs/>
              </w:rPr>
              <w:t>3</w:t>
            </w:r>
          </w:p>
        </w:tc>
        <w:tc>
          <w:tcPr>
            <w:tcW w:w="48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Tasks and Activities and Questioning Strategies</w:t>
            </w:r>
          </w:p>
        </w:tc>
        <w:tc>
          <w:tcPr>
            <w:tcW w:w="1592"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120 min</w:t>
            </w:r>
          </w:p>
        </w:tc>
      </w:tr>
      <w:tr w:rsidR="00720D0A" w:rsidTr="00720D0A">
        <w:trPr>
          <w:trHeight w:val="260"/>
        </w:trPr>
        <w:tc>
          <w:tcPr>
            <w:tcW w:w="1239" w:type="dxa"/>
            <w:tcBorders>
              <w:top w:val="nil"/>
              <w:left w:val="single" w:sz="8" w:space="0" w:color="A8D08D"/>
              <w:bottom w:val="single" w:sz="8" w:space="0" w:color="A8D08D"/>
              <w:right w:val="single" w:sz="8" w:space="0" w:color="A8D08D"/>
            </w:tcBorders>
            <w:tcMar>
              <w:top w:w="0" w:type="dxa"/>
              <w:left w:w="108" w:type="dxa"/>
              <w:bottom w:w="0" w:type="dxa"/>
              <w:right w:w="108" w:type="dxa"/>
            </w:tcMar>
            <w:hideMark/>
          </w:tcPr>
          <w:p w:rsidR="00720D0A" w:rsidRDefault="00720D0A" w:rsidP="0077041F">
            <w:r>
              <w:rPr>
                <w:b/>
                <w:bCs/>
              </w:rPr>
              <w:t>4</w:t>
            </w:r>
          </w:p>
        </w:tc>
        <w:tc>
          <w:tcPr>
            <w:tcW w:w="4863"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Peer Feedback, Self-Assessment and Collaboration</w:t>
            </w:r>
          </w:p>
        </w:tc>
        <w:tc>
          <w:tcPr>
            <w:tcW w:w="1592"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120 min</w:t>
            </w:r>
          </w:p>
        </w:tc>
      </w:tr>
      <w:tr w:rsidR="00720D0A" w:rsidTr="00720D0A">
        <w:trPr>
          <w:trHeight w:val="260"/>
        </w:trPr>
        <w:tc>
          <w:tcPr>
            <w:tcW w:w="1239"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rPr>
                <w:b/>
                <w:bCs/>
              </w:rPr>
              <w:t>5</w:t>
            </w:r>
          </w:p>
        </w:tc>
        <w:tc>
          <w:tcPr>
            <w:tcW w:w="48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Feedback Loops, Descriptive Feedback and Use of Evidence</w:t>
            </w:r>
          </w:p>
        </w:tc>
        <w:tc>
          <w:tcPr>
            <w:tcW w:w="1592"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120 min</w:t>
            </w:r>
          </w:p>
        </w:tc>
      </w:tr>
      <w:tr w:rsidR="00720D0A" w:rsidTr="00720D0A">
        <w:trPr>
          <w:trHeight w:val="269"/>
        </w:trPr>
        <w:tc>
          <w:tcPr>
            <w:tcW w:w="1239" w:type="dxa"/>
            <w:tcBorders>
              <w:top w:val="nil"/>
              <w:left w:val="single" w:sz="8" w:space="0" w:color="A8D08D"/>
              <w:bottom w:val="single" w:sz="8" w:space="0" w:color="A8D08D"/>
              <w:right w:val="single" w:sz="8" w:space="0" w:color="A8D08D"/>
            </w:tcBorders>
            <w:tcMar>
              <w:top w:w="0" w:type="dxa"/>
              <w:left w:w="108" w:type="dxa"/>
              <w:bottom w:w="0" w:type="dxa"/>
              <w:right w:w="108" w:type="dxa"/>
            </w:tcMar>
            <w:hideMark/>
          </w:tcPr>
          <w:p w:rsidR="00720D0A" w:rsidRDefault="00720D0A" w:rsidP="0077041F">
            <w:r>
              <w:rPr>
                <w:b/>
                <w:bCs/>
              </w:rPr>
              <w:t>6</w:t>
            </w:r>
          </w:p>
        </w:tc>
        <w:tc>
          <w:tcPr>
            <w:tcW w:w="4863"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Giving and Receiving Feedback</w:t>
            </w:r>
          </w:p>
        </w:tc>
        <w:tc>
          <w:tcPr>
            <w:tcW w:w="1592"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60 min</w:t>
            </w:r>
          </w:p>
        </w:tc>
      </w:tr>
      <w:tr w:rsidR="00720D0A" w:rsidTr="00720D0A">
        <w:trPr>
          <w:trHeight w:val="260"/>
        </w:trPr>
        <w:tc>
          <w:tcPr>
            <w:tcW w:w="1239"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rPr>
                <w:b/>
                <w:bCs/>
              </w:rPr>
              <w:t>7</w:t>
            </w:r>
          </w:p>
        </w:tc>
        <w:tc>
          <w:tcPr>
            <w:tcW w:w="48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Scoring Lessons Across 10 Dimensions</w:t>
            </w:r>
          </w:p>
        </w:tc>
        <w:tc>
          <w:tcPr>
            <w:tcW w:w="1592"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150 min</w:t>
            </w:r>
          </w:p>
        </w:tc>
      </w:tr>
      <w:tr w:rsidR="00720D0A" w:rsidTr="00720D0A">
        <w:trPr>
          <w:trHeight w:val="260"/>
        </w:trPr>
        <w:tc>
          <w:tcPr>
            <w:tcW w:w="1239" w:type="dxa"/>
            <w:tcBorders>
              <w:top w:val="nil"/>
              <w:left w:val="single" w:sz="8" w:space="0" w:color="A8D08D"/>
              <w:bottom w:val="single" w:sz="8" w:space="0" w:color="A8D08D"/>
              <w:right w:val="single" w:sz="8" w:space="0" w:color="A8D08D"/>
            </w:tcBorders>
            <w:tcMar>
              <w:top w:w="0" w:type="dxa"/>
              <w:left w:w="108" w:type="dxa"/>
              <w:bottom w:w="0" w:type="dxa"/>
              <w:right w:w="108" w:type="dxa"/>
            </w:tcMar>
            <w:hideMark/>
          </w:tcPr>
          <w:p w:rsidR="00720D0A" w:rsidRDefault="00720D0A" w:rsidP="0077041F">
            <w:r>
              <w:rPr>
                <w:b/>
                <w:bCs/>
              </w:rPr>
              <w:t>8</w:t>
            </w:r>
          </w:p>
        </w:tc>
        <w:tc>
          <w:tcPr>
            <w:tcW w:w="4863"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Reflecting on More Lessons</w:t>
            </w:r>
          </w:p>
        </w:tc>
        <w:tc>
          <w:tcPr>
            <w:tcW w:w="1592" w:type="dxa"/>
            <w:tcBorders>
              <w:top w:val="nil"/>
              <w:left w:val="nil"/>
              <w:bottom w:val="single" w:sz="8" w:space="0" w:color="A8D08D"/>
              <w:right w:val="single" w:sz="8" w:space="0" w:color="A8D08D"/>
            </w:tcBorders>
            <w:tcMar>
              <w:top w:w="0" w:type="dxa"/>
              <w:left w:w="108" w:type="dxa"/>
              <w:bottom w:w="0" w:type="dxa"/>
              <w:right w:w="108" w:type="dxa"/>
            </w:tcMar>
            <w:hideMark/>
          </w:tcPr>
          <w:p w:rsidR="00720D0A" w:rsidRDefault="00720D0A" w:rsidP="0077041F">
            <w:r>
              <w:t>150 min</w:t>
            </w:r>
          </w:p>
        </w:tc>
      </w:tr>
      <w:tr w:rsidR="00720D0A" w:rsidTr="00720D0A">
        <w:trPr>
          <w:trHeight w:val="269"/>
        </w:trPr>
        <w:tc>
          <w:tcPr>
            <w:tcW w:w="1239"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rPr>
                <w:b/>
                <w:bCs/>
              </w:rPr>
              <w:t>9</w:t>
            </w:r>
          </w:p>
        </w:tc>
        <w:tc>
          <w:tcPr>
            <w:tcW w:w="48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Using the Elevate System</w:t>
            </w:r>
          </w:p>
        </w:tc>
        <w:tc>
          <w:tcPr>
            <w:tcW w:w="1592"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hideMark/>
          </w:tcPr>
          <w:p w:rsidR="00720D0A" w:rsidRDefault="00720D0A" w:rsidP="0077041F">
            <w:r>
              <w:t>60 min</w:t>
            </w:r>
          </w:p>
        </w:tc>
      </w:tr>
    </w:tbl>
    <w:p w:rsidR="00720D0A" w:rsidRDefault="00720D0A"/>
    <w:p w:rsidR="001D12D3" w:rsidRDefault="001D12D3"/>
    <w:p w:rsidR="001D12D3" w:rsidRPr="001D12D3" w:rsidRDefault="001D12D3">
      <w:pPr>
        <w:rPr>
          <w:b/>
        </w:rPr>
      </w:pPr>
      <w:r w:rsidRPr="001D12D3">
        <w:rPr>
          <w:b/>
        </w:rPr>
        <w:t>FARROP- Facilitators Guide</w:t>
      </w:r>
    </w:p>
    <w:p w:rsidR="001D12D3" w:rsidRDefault="001D12D3">
      <w:r>
        <w:t xml:space="preserve">The </w:t>
      </w:r>
      <w:hyperlink r:id="rId6" w:history="1">
        <w:r w:rsidRPr="00720D0A">
          <w:rPr>
            <w:rStyle w:val="Hyperlink"/>
          </w:rPr>
          <w:t>FARROP Facilitator Guide</w:t>
        </w:r>
      </w:hyperlink>
      <w:r>
        <w:t xml:space="preserve"> is to provide guidance for school principals, teachers, coaches or professional developers as they explore using the FARROP. The goal of this document is to support initial learning opportunities and to support continued school-level learning throughout the year.  You should read through the entire FARROP document before you begin to read this document.  Please review this Facilitator Guide before you complete the training modules. This document will help to provide a foundation to the training modules.</w:t>
      </w:r>
    </w:p>
    <w:p w:rsidR="001D12D3" w:rsidRDefault="001D12D3"/>
    <w:sectPr w:rsidR="001D1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D3"/>
    <w:rsid w:val="001D12D3"/>
    <w:rsid w:val="00720D0A"/>
    <w:rsid w:val="00F3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F33A"/>
  <w15:chartTrackingRefBased/>
  <w15:docId w15:val="{58FF0626-E36F-4699-BF1C-106A1AB1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D0A"/>
    <w:rPr>
      <w:color w:val="0563C1" w:themeColor="hyperlink"/>
      <w:u w:val="single"/>
    </w:rPr>
  </w:style>
  <w:style w:type="character" w:styleId="UnresolvedMention">
    <w:name w:val="Unresolved Mention"/>
    <w:basedOn w:val="DefaultParagraphFont"/>
    <w:uiPriority w:val="99"/>
    <w:semiHidden/>
    <w:unhideWhenUsed/>
    <w:rsid w:val="00720D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mast\Desktop\FA%20Website\FAST-ER%20Facilitator%20Guide%20-%20final%20version%202017.docx" TargetMode="External"/><Relationship Id="rId5" Type="http://schemas.openxmlformats.org/officeDocument/2006/relationships/hyperlink" Target="file:///C:\Users\smast\Desktop\FA%20Website\FARROP%20Training%20Guide_Quick%20Reference.docx" TargetMode="External"/><Relationship Id="rId4" Type="http://schemas.openxmlformats.org/officeDocument/2006/relationships/hyperlink" Target="file:///C:\Users\smast\Desktop\FA%20Website\FARROP%20Modules%20Online%20Enrollment%20Di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 Suzi</dc:creator>
  <cp:keywords/>
  <dc:description/>
  <cp:lastModifiedBy>Mast, Suzi</cp:lastModifiedBy>
  <cp:revision>1</cp:revision>
  <dcterms:created xsi:type="dcterms:W3CDTF">2018-07-18T14:32:00Z</dcterms:created>
  <dcterms:modified xsi:type="dcterms:W3CDTF">2018-07-18T14:50:00Z</dcterms:modified>
</cp:coreProperties>
</file>